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3B54" w14:textId="7AEDD70F" w:rsidR="00DD0549" w:rsidRPr="000271F0" w:rsidRDefault="0050209E">
      <w:pPr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 xml:space="preserve">Eligibility Criteria for </w:t>
      </w:r>
      <w:r w:rsidR="001D293B">
        <w:rPr>
          <w:rFonts w:ascii="Arial" w:hAnsi="Arial" w:cs="Arial"/>
          <w:b/>
          <w:bCs/>
        </w:rPr>
        <w:t>Lending</w:t>
      </w:r>
      <w:r w:rsidR="001D293B" w:rsidRPr="000271F0">
        <w:rPr>
          <w:rFonts w:ascii="Arial" w:hAnsi="Arial" w:cs="Arial"/>
          <w:b/>
          <w:bCs/>
        </w:rPr>
        <w:t xml:space="preserve"> </w:t>
      </w:r>
      <w:r w:rsidR="00DD02CB">
        <w:rPr>
          <w:rFonts w:ascii="Arial" w:hAnsi="Arial" w:cs="Arial"/>
          <w:b/>
          <w:bCs/>
        </w:rPr>
        <w:t>Hub</w:t>
      </w:r>
      <w:r w:rsidRPr="000271F0">
        <w:rPr>
          <w:rFonts w:ascii="Arial" w:hAnsi="Arial" w:cs="Arial"/>
          <w:b/>
          <w:bCs/>
        </w:rPr>
        <w:t xml:space="preserve"> </w:t>
      </w:r>
      <w:r w:rsidR="00D0023C">
        <w:rPr>
          <w:rFonts w:ascii="Arial" w:hAnsi="Arial" w:cs="Arial"/>
          <w:b/>
          <w:bCs/>
        </w:rPr>
        <w:t xml:space="preserve">Grant </w:t>
      </w:r>
      <w:r w:rsidR="0065521E" w:rsidRPr="000271F0">
        <w:rPr>
          <w:rFonts w:ascii="Arial" w:hAnsi="Arial" w:cs="Arial"/>
          <w:b/>
          <w:bCs/>
        </w:rPr>
        <w:t>Fund</w:t>
      </w:r>
      <w:r w:rsidR="00D0023C">
        <w:rPr>
          <w:rFonts w:ascii="Arial" w:hAnsi="Arial" w:cs="Arial"/>
          <w:b/>
          <w:bCs/>
        </w:rPr>
        <w:t>ing</w:t>
      </w:r>
    </w:p>
    <w:p w14:paraId="58DEFC12" w14:textId="77777777" w:rsidR="0050209E" w:rsidRPr="000271F0" w:rsidRDefault="0050209E">
      <w:pPr>
        <w:rPr>
          <w:rFonts w:ascii="Arial" w:hAnsi="Arial" w:cs="Arial"/>
        </w:rPr>
      </w:pPr>
    </w:p>
    <w:p w14:paraId="65212391" w14:textId="77777777" w:rsidR="0050209E" w:rsidRPr="000271F0" w:rsidRDefault="0050209E" w:rsidP="0050209E">
      <w:pPr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1. Organisational Criteria</w:t>
      </w:r>
    </w:p>
    <w:p w14:paraId="435E5029" w14:textId="77777777" w:rsidR="0050209E" w:rsidRPr="000271F0" w:rsidRDefault="0050209E" w:rsidP="0050209E">
      <w:pPr>
        <w:rPr>
          <w:rFonts w:ascii="Arial" w:hAnsi="Arial" w:cs="Arial"/>
        </w:rPr>
      </w:pPr>
      <w:r w:rsidRPr="000271F0">
        <w:rPr>
          <w:rFonts w:ascii="Arial" w:hAnsi="Arial" w:cs="Arial"/>
        </w:rPr>
        <w:t>Applicants must:</w:t>
      </w:r>
    </w:p>
    <w:p w14:paraId="14361C13" w14:textId="77777777" w:rsidR="0050209E" w:rsidRPr="000271F0" w:rsidRDefault="0050209E" w:rsidP="0050209E">
      <w:pPr>
        <w:numPr>
          <w:ilvl w:val="0"/>
          <w:numId w:val="1"/>
        </w:numPr>
        <w:rPr>
          <w:rFonts w:ascii="Arial" w:hAnsi="Arial" w:cs="Arial"/>
        </w:rPr>
      </w:pPr>
      <w:r w:rsidRPr="000271F0">
        <w:rPr>
          <w:rFonts w:ascii="Arial" w:hAnsi="Arial" w:cs="Arial"/>
        </w:rPr>
        <w:t>Be a registered organisation, charity, CIC, constituted community group, or equivalent non-profit entity.</w:t>
      </w:r>
    </w:p>
    <w:p w14:paraId="55EF9916" w14:textId="2D7EF5C9" w:rsidR="00F44FC0" w:rsidRDefault="00F44FC0" w:rsidP="00583950">
      <w:pPr>
        <w:numPr>
          <w:ilvl w:val="0"/>
          <w:numId w:val="1"/>
        </w:numPr>
        <w:rPr>
          <w:rFonts w:ascii="Arial" w:hAnsi="Arial" w:cs="Arial"/>
        </w:rPr>
      </w:pPr>
      <w:r w:rsidRPr="000271F0">
        <w:rPr>
          <w:rFonts w:ascii="Arial" w:hAnsi="Arial" w:cs="Arial"/>
        </w:rPr>
        <w:t>Demonstrate</w:t>
      </w:r>
      <w:r w:rsidR="00787508">
        <w:rPr>
          <w:rFonts w:ascii="Arial" w:hAnsi="Arial" w:cs="Arial"/>
        </w:rPr>
        <w:t xml:space="preserve"> capacity to run a lending </w:t>
      </w:r>
      <w:r w:rsidR="00DD02CB">
        <w:rPr>
          <w:rFonts w:ascii="Arial" w:hAnsi="Arial" w:cs="Arial"/>
        </w:rPr>
        <w:t>hub</w:t>
      </w:r>
      <w:r w:rsidR="00787508">
        <w:rPr>
          <w:rFonts w:ascii="Arial" w:hAnsi="Arial" w:cs="Arial"/>
        </w:rPr>
        <w:t xml:space="preserve"> – this might include how your current set-up is funded, staff / volunteer base and how you will expand to allow for the lending </w:t>
      </w:r>
      <w:r w:rsidR="00DD02CB">
        <w:rPr>
          <w:rFonts w:ascii="Arial" w:hAnsi="Arial" w:cs="Arial"/>
        </w:rPr>
        <w:t>hub</w:t>
      </w:r>
      <w:r w:rsidR="00787508">
        <w:rPr>
          <w:rFonts w:ascii="Arial" w:hAnsi="Arial" w:cs="Arial"/>
        </w:rPr>
        <w:t xml:space="preserve">. </w:t>
      </w:r>
    </w:p>
    <w:p w14:paraId="6112EA5A" w14:textId="408A8F0C" w:rsidR="00C6772D" w:rsidRPr="000271F0" w:rsidRDefault="00D0023C" w:rsidP="0058395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Demonstrate </w:t>
      </w:r>
      <w:r w:rsidR="00C6772D">
        <w:rPr>
          <w:rFonts w:ascii="Arial" w:hAnsi="Arial" w:cs="Arial"/>
        </w:rPr>
        <w:t xml:space="preserve">an interest in sustainability, community </w:t>
      </w:r>
      <w:r>
        <w:rPr>
          <w:rFonts w:ascii="Arial" w:hAnsi="Arial" w:cs="Arial"/>
        </w:rPr>
        <w:t xml:space="preserve">engagement </w:t>
      </w:r>
      <w:r w:rsidR="008C1BB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/or the </w:t>
      </w:r>
      <w:r w:rsidR="008C1BBC">
        <w:rPr>
          <w:rFonts w:ascii="Arial" w:hAnsi="Arial" w:cs="Arial"/>
        </w:rPr>
        <w:t>voluntary sector</w:t>
      </w:r>
      <w:r>
        <w:rPr>
          <w:rFonts w:ascii="Arial" w:hAnsi="Arial" w:cs="Arial"/>
        </w:rPr>
        <w:t>.</w:t>
      </w:r>
      <w:r w:rsidR="008C1BBC">
        <w:rPr>
          <w:rFonts w:ascii="Arial" w:hAnsi="Arial" w:cs="Arial"/>
        </w:rPr>
        <w:t xml:space="preserve"> </w:t>
      </w:r>
    </w:p>
    <w:p w14:paraId="2B669EDE" w14:textId="77777777" w:rsidR="0050209E" w:rsidRPr="000271F0" w:rsidRDefault="0050209E">
      <w:pPr>
        <w:rPr>
          <w:rFonts w:ascii="Arial" w:hAnsi="Arial" w:cs="Arial"/>
        </w:rPr>
      </w:pPr>
    </w:p>
    <w:p w14:paraId="547F0959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2. Location &amp; Physical Space Requirements</w:t>
      </w:r>
    </w:p>
    <w:p w14:paraId="289675B3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The organisation must:</w:t>
      </w:r>
    </w:p>
    <w:p w14:paraId="2F2E09C1" w14:textId="58EBBB38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Have a dedicated physical space suitable for safely storing and lending tools</w:t>
      </w:r>
      <w:r w:rsidR="00F44FC0" w:rsidRPr="000271F0">
        <w:rPr>
          <w:rFonts w:ascii="Arial" w:hAnsi="Arial" w:cs="Arial"/>
        </w:rPr>
        <w:t xml:space="preserve"> or have a space that is available and could be used</w:t>
      </w:r>
      <w:r w:rsidRPr="000271F0">
        <w:rPr>
          <w:rFonts w:ascii="Arial" w:hAnsi="Arial" w:cs="Arial"/>
        </w:rPr>
        <w:t>.</w:t>
      </w:r>
      <w:r w:rsidR="00C6772D">
        <w:rPr>
          <w:rFonts w:ascii="Arial" w:hAnsi="Arial" w:cs="Arial"/>
        </w:rPr>
        <w:t xml:space="preserve"> </w:t>
      </w:r>
      <w:r w:rsidR="00D0023C">
        <w:rPr>
          <w:rFonts w:ascii="Arial" w:hAnsi="Arial" w:cs="Arial"/>
        </w:rPr>
        <w:t>Please provide i</w:t>
      </w:r>
      <w:r w:rsidR="00F7027A">
        <w:rPr>
          <w:rFonts w:ascii="Arial" w:hAnsi="Arial" w:cs="Arial"/>
        </w:rPr>
        <w:t xml:space="preserve">nformation about the length of lease </w:t>
      </w:r>
      <w:r w:rsidR="00D0023C">
        <w:rPr>
          <w:rFonts w:ascii="Arial" w:hAnsi="Arial" w:cs="Arial"/>
        </w:rPr>
        <w:t>and</w:t>
      </w:r>
      <w:r w:rsidR="00F7027A">
        <w:rPr>
          <w:rFonts w:ascii="Arial" w:hAnsi="Arial" w:cs="Arial"/>
        </w:rPr>
        <w:t xml:space="preserve"> </w:t>
      </w:r>
      <w:r w:rsidR="00D0023C">
        <w:rPr>
          <w:rFonts w:ascii="Arial" w:hAnsi="Arial" w:cs="Arial"/>
        </w:rPr>
        <w:t xml:space="preserve">any </w:t>
      </w:r>
      <w:r w:rsidR="00F7027A">
        <w:rPr>
          <w:rFonts w:ascii="Arial" w:hAnsi="Arial" w:cs="Arial"/>
        </w:rPr>
        <w:t>specific access/usage arrangements such as limitation on hours.</w:t>
      </w:r>
    </w:p>
    <w:p w14:paraId="1438EDA9" w14:textId="2BB87C20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Ensure the space is accessible, including reasonable access for disabled residents</w:t>
      </w:r>
      <w:r w:rsidR="00787508">
        <w:rPr>
          <w:rFonts w:ascii="Arial" w:hAnsi="Arial" w:cs="Arial"/>
        </w:rPr>
        <w:t>, and via public transport</w:t>
      </w:r>
      <w:r w:rsidRPr="000271F0">
        <w:rPr>
          <w:rFonts w:ascii="Arial" w:hAnsi="Arial" w:cs="Arial"/>
        </w:rPr>
        <w:t>.</w:t>
      </w:r>
    </w:p>
    <w:p w14:paraId="670216E0" w14:textId="77777777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Be based within the London Borough of Newham.</w:t>
      </w:r>
    </w:p>
    <w:p w14:paraId="56348F34" w14:textId="77777777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Preferably be well-known or embedded in the community, with existing footfall, volunteers, or social networks.</w:t>
      </w:r>
    </w:p>
    <w:p w14:paraId="03CF8A2E" w14:textId="03D474ED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</w:p>
    <w:p w14:paraId="0C2C434B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3. Operational Readiness &amp; Delivery Capacity</w:t>
      </w:r>
    </w:p>
    <w:p w14:paraId="191E5211" w14:textId="6ED178BC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Applicants must:</w:t>
      </w:r>
    </w:p>
    <w:p w14:paraId="1A1633AB" w14:textId="7BF13D8A" w:rsidR="000271F0" w:rsidRPr="000271F0" w:rsidRDefault="000271F0" w:rsidP="0050209E">
      <w:pPr>
        <w:numPr>
          <w:ilvl w:val="0"/>
          <w:numId w:val="3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Adopt and use a web-based lending software system to manage tools, members, loans, payments, and fees, ensuring an easy borrowing experience for residents. </w:t>
      </w:r>
      <w:r w:rsidR="00C6772D">
        <w:rPr>
          <w:rFonts w:ascii="Arial" w:hAnsi="Arial" w:cs="Arial"/>
        </w:rPr>
        <w:t xml:space="preserve">We will support you to set up your hire portal and will show you how to operate it. </w:t>
      </w:r>
    </w:p>
    <w:p w14:paraId="1BAFD876" w14:textId="16D6982F" w:rsidR="000271F0" w:rsidRPr="000271F0" w:rsidRDefault="000271F0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271F0">
        <w:rPr>
          <w:rStyle w:val="normaltextrun"/>
          <w:rFonts w:ascii="Arial" w:eastAsiaTheme="majorEastAsia" w:hAnsi="Arial" w:cs="Arial"/>
        </w:rPr>
        <w:t>Establish health and safety protocols and risk management procedures (if not already in place</w:t>
      </w:r>
      <w:r w:rsidR="00D0023C">
        <w:rPr>
          <w:rStyle w:val="normaltextrun"/>
          <w:rFonts w:ascii="Arial" w:eastAsiaTheme="majorEastAsia" w:hAnsi="Arial" w:cs="Arial"/>
        </w:rPr>
        <w:t>,</w:t>
      </w:r>
      <w:r w:rsidR="00E252F5">
        <w:rPr>
          <w:rStyle w:val="normaltextrun"/>
          <w:rFonts w:ascii="Arial" w:eastAsiaTheme="majorEastAsia" w:hAnsi="Arial" w:cs="Arial"/>
        </w:rPr>
        <w:t xml:space="preserve"> examples are available from other existing lending libraries</w:t>
      </w:r>
      <w:r w:rsidRPr="000271F0">
        <w:rPr>
          <w:rStyle w:val="normaltextrun"/>
          <w:rFonts w:ascii="Arial" w:eastAsiaTheme="majorEastAsia" w:hAnsi="Arial" w:cs="Arial"/>
        </w:rPr>
        <w:t>). </w:t>
      </w:r>
      <w:r w:rsidRPr="000271F0">
        <w:rPr>
          <w:rStyle w:val="eop"/>
          <w:rFonts w:ascii="Arial" w:eastAsiaTheme="majorEastAsia" w:hAnsi="Arial" w:cs="Arial"/>
        </w:rPr>
        <w:t> </w:t>
      </w:r>
    </w:p>
    <w:p w14:paraId="1A5E7798" w14:textId="3C0A0917" w:rsidR="000271F0" w:rsidRPr="000271F0" w:rsidRDefault="000271F0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271F0">
        <w:rPr>
          <w:rStyle w:val="normaltextrun"/>
          <w:rFonts w:ascii="Arial" w:eastAsiaTheme="majorEastAsia" w:hAnsi="Arial" w:cs="Arial"/>
        </w:rPr>
        <w:t>Ensure </w:t>
      </w:r>
      <w:r w:rsidR="00787508">
        <w:rPr>
          <w:rStyle w:val="normaltextrun"/>
          <w:rFonts w:ascii="Arial" w:eastAsiaTheme="majorEastAsia" w:hAnsi="Arial" w:cs="Arial"/>
        </w:rPr>
        <w:t xml:space="preserve">dedicated support for tool maintenance between each hire, including PAT testing for electrical items. The grant fund can be used to purchase a </w:t>
      </w:r>
      <w:r w:rsidR="00787508">
        <w:rPr>
          <w:rStyle w:val="normaltextrun"/>
          <w:rFonts w:ascii="Arial" w:eastAsiaTheme="majorEastAsia" w:hAnsi="Arial" w:cs="Arial"/>
        </w:rPr>
        <w:lastRenderedPageBreak/>
        <w:t xml:space="preserve">PAT tester and undertake the required training. Ensure that </w:t>
      </w:r>
      <w:r w:rsidRPr="000271F0">
        <w:rPr>
          <w:rStyle w:val="normaltextrun"/>
          <w:rFonts w:ascii="Arial" w:eastAsiaTheme="majorEastAsia" w:hAnsi="Arial" w:cs="Arial"/>
        </w:rPr>
        <w:t xml:space="preserve">tool maintenance processes are </w:t>
      </w:r>
      <w:r w:rsidR="00787508">
        <w:rPr>
          <w:rStyle w:val="normaltextrun"/>
          <w:rFonts w:ascii="Arial" w:eastAsiaTheme="majorEastAsia" w:hAnsi="Arial" w:cs="Arial"/>
        </w:rPr>
        <w:t xml:space="preserve">set up, </w:t>
      </w:r>
      <w:r w:rsidRPr="000271F0">
        <w:rPr>
          <w:rStyle w:val="normaltextrun"/>
          <w:rFonts w:ascii="Arial" w:eastAsiaTheme="majorEastAsia" w:hAnsi="Arial" w:cs="Arial"/>
        </w:rPr>
        <w:t>implemented and consistently followed.</w:t>
      </w:r>
      <w:r w:rsidRPr="000271F0">
        <w:rPr>
          <w:rStyle w:val="eop"/>
          <w:rFonts w:ascii="Arial" w:eastAsiaTheme="majorEastAsia" w:hAnsi="Arial" w:cs="Arial"/>
        </w:rPr>
        <w:t> </w:t>
      </w:r>
    </w:p>
    <w:p w14:paraId="24D29443" w14:textId="1B8E05F1" w:rsidR="000271F0" w:rsidRPr="000271F0" w:rsidRDefault="000271F0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Ensure you follow all the </w:t>
      </w:r>
      <w:r w:rsidR="00075E3A" w:rsidRPr="000271F0">
        <w:rPr>
          <w:rFonts w:ascii="Arial" w:eastAsiaTheme="minorHAnsi" w:hAnsi="Arial" w:cs="Arial"/>
        </w:rPr>
        <w:t>Legal</w:t>
      </w:r>
      <w:r>
        <w:rPr>
          <w:rFonts w:ascii="Arial" w:eastAsiaTheme="minorHAnsi" w:hAnsi="Arial" w:cs="Arial"/>
        </w:rPr>
        <w:t xml:space="preserve"> and compliant r</w:t>
      </w:r>
      <w:r w:rsidR="00075E3A" w:rsidRPr="000271F0">
        <w:rPr>
          <w:rFonts w:ascii="Arial" w:eastAsiaTheme="minorHAnsi" w:hAnsi="Arial" w:cs="Arial"/>
        </w:rPr>
        <w:t>equirements</w:t>
      </w:r>
      <w:r>
        <w:rPr>
          <w:rFonts w:ascii="Arial" w:eastAsiaTheme="minorHAnsi" w:hAnsi="Arial" w:cs="Arial"/>
        </w:rPr>
        <w:t>.</w:t>
      </w:r>
      <w:r w:rsidR="00075E3A" w:rsidRPr="000271F0">
        <w:rPr>
          <w:rFonts w:ascii="Arial" w:eastAsiaTheme="minorHAnsi" w:hAnsi="Arial" w:cs="Arial"/>
        </w:rPr>
        <w:t xml:space="preserve"> You </w:t>
      </w:r>
      <w:r w:rsidR="00C6772D">
        <w:rPr>
          <w:rFonts w:ascii="Arial" w:eastAsiaTheme="minorHAnsi" w:hAnsi="Arial" w:cs="Arial"/>
        </w:rPr>
        <w:t>will</w:t>
      </w:r>
      <w:r w:rsidR="00C6772D" w:rsidRPr="000271F0">
        <w:rPr>
          <w:rFonts w:ascii="Arial" w:eastAsiaTheme="minorHAnsi" w:hAnsi="Arial" w:cs="Arial"/>
        </w:rPr>
        <w:t xml:space="preserve"> </w:t>
      </w:r>
      <w:r w:rsidR="00075E3A" w:rsidRPr="000271F0">
        <w:rPr>
          <w:rFonts w:ascii="Arial" w:eastAsiaTheme="minorHAnsi" w:hAnsi="Arial" w:cs="Arial"/>
        </w:rPr>
        <w:t>need appropriate insurance (e.g., public liability), a borrowers' agreement</w:t>
      </w:r>
      <w:r w:rsidR="00E252F5">
        <w:rPr>
          <w:rFonts w:ascii="Arial" w:eastAsiaTheme="minorHAnsi" w:hAnsi="Arial" w:cs="Arial"/>
        </w:rPr>
        <w:t xml:space="preserve"> (</w:t>
      </w:r>
      <w:r w:rsidR="00E252F5">
        <w:rPr>
          <w:rStyle w:val="normaltextrun"/>
          <w:rFonts w:ascii="Arial" w:eastAsiaTheme="majorEastAsia" w:hAnsi="Arial" w:cs="Arial"/>
        </w:rPr>
        <w:t>examples are available from other existing lending libraries)</w:t>
      </w:r>
      <w:r w:rsidR="00075E3A" w:rsidRPr="000271F0">
        <w:rPr>
          <w:rFonts w:ascii="Arial" w:eastAsiaTheme="minorHAnsi" w:hAnsi="Arial" w:cs="Arial"/>
        </w:rPr>
        <w:t>, and a liability waiver. </w:t>
      </w:r>
      <w:r>
        <w:rPr>
          <w:rFonts w:ascii="Arial" w:eastAsiaTheme="minorHAnsi" w:hAnsi="Arial" w:cs="Arial"/>
        </w:rPr>
        <w:t>This is the organisation</w:t>
      </w:r>
      <w:r>
        <w:rPr>
          <w:rFonts w:ascii="Arial" w:hAnsi="Arial" w:cs="Arial"/>
        </w:rPr>
        <w:t xml:space="preserve">’s responsibility. </w:t>
      </w:r>
    </w:p>
    <w:p w14:paraId="42BBC55A" w14:textId="658FEBAD" w:rsidR="00B141CD" w:rsidRDefault="00B141CD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271F0">
        <w:rPr>
          <w:rFonts w:ascii="Arial" w:hAnsi="Arial" w:cs="Arial"/>
        </w:rPr>
        <w:t>Be</w:t>
      </w:r>
      <w:r w:rsidR="00D0023C">
        <w:rPr>
          <w:rFonts w:ascii="Arial" w:hAnsi="Arial" w:cs="Arial"/>
        </w:rPr>
        <w:t xml:space="preserve"> willing for the lending </w:t>
      </w:r>
      <w:r w:rsidR="00DD02CB">
        <w:rPr>
          <w:rFonts w:ascii="Arial" w:hAnsi="Arial" w:cs="Arial"/>
        </w:rPr>
        <w:t>hub</w:t>
      </w:r>
      <w:r w:rsidR="00D0023C">
        <w:rPr>
          <w:rFonts w:ascii="Arial" w:hAnsi="Arial" w:cs="Arial"/>
        </w:rPr>
        <w:t xml:space="preserve"> to be </w:t>
      </w:r>
      <w:r w:rsidRPr="000271F0">
        <w:rPr>
          <w:rFonts w:ascii="Arial" w:hAnsi="Arial" w:cs="Arial"/>
        </w:rPr>
        <w:t xml:space="preserve">promoted on the London Borough of Newham platforms, both electronically and in print including photos and information sharing. </w:t>
      </w:r>
    </w:p>
    <w:p w14:paraId="0061ADFA" w14:textId="25FFD91E" w:rsidR="00C6772D" w:rsidRPr="000271F0" w:rsidRDefault="00C6772D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Maintain close engagement with ELWA / LBN </w:t>
      </w:r>
      <w:r w:rsidR="0092018D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 xml:space="preserve">the lending </w:t>
      </w:r>
      <w:r w:rsidR="00DD02CB">
        <w:rPr>
          <w:rFonts w:ascii="Arial" w:hAnsi="Arial" w:cs="Arial"/>
        </w:rPr>
        <w:t>hub.</w:t>
      </w:r>
      <w:r w:rsidR="00D0023C">
        <w:rPr>
          <w:rFonts w:ascii="Arial" w:hAnsi="Arial" w:cs="Arial"/>
        </w:rPr>
        <w:t xml:space="preserve"> </w:t>
      </w:r>
    </w:p>
    <w:p w14:paraId="0D6DA767" w14:textId="77777777" w:rsidR="00B141CD" w:rsidRPr="000271F0" w:rsidRDefault="00B141CD" w:rsidP="00B141CD">
      <w:pPr>
        <w:tabs>
          <w:tab w:val="left" w:pos="500"/>
        </w:tabs>
        <w:rPr>
          <w:rFonts w:ascii="Arial" w:hAnsi="Arial" w:cs="Arial"/>
        </w:rPr>
      </w:pPr>
    </w:p>
    <w:p w14:paraId="45B3C9F3" w14:textId="77777777" w:rsidR="000271F0" w:rsidRDefault="000271F0" w:rsidP="0050209E">
      <w:pPr>
        <w:tabs>
          <w:tab w:val="left" w:pos="500"/>
        </w:tabs>
        <w:rPr>
          <w:rFonts w:ascii="Arial" w:hAnsi="Arial" w:cs="Arial"/>
          <w:b/>
          <w:bCs/>
        </w:rPr>
      </w:pPr>
    </w:p>
    <w:p w14:paraId="3CFCD90C" w14:textId="65C806A5" w:rsidR="0050209E" w:rsidRPr="000271F0" w:rsidRDefault="0050209E" w:rsidP="0050209E">
      <w:pPr>
        <w:tabs>
          <w:tab w:val="left" w:pos="500"/>
        </w:tabs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4. Community Benefit Criteria</w:t>
      </w:r>
    </w:p>
    <w:p w14:paraId="4B1F65B2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The organisation must:</w:t>
      </w:r>
    </w:p>
    <w:p w14:paraId="0E8D2A52" w14:textId="5B66B504" w:rsidR="0050209E" w:rsidRPr="000271F0" w:rsidRDefault="0050209E" w:rsidP="0050209E">
      <w:pPr>
        <w:numPr>
          <w:ilvl w:val="0"/>
          <w:numId w:val="4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 xml:space="preserve">Commit to making the </w:t>
      </w:r>
      <w:r w:rsidR="00D0023C">
        <w:rPr>
          <w:rFonts w:ascii="Arial" w:hAnsi="Arial" w:cs="Arial"/>
        </w:rPr>
        <w:t>lending</w:t>
      </w:r>
      <w:r w:rsidR="00D0023C" w:rsidRPr="000271F0">
        <w:rPr>
          <w:rFonts w:ascii="Arial" w:hAnsi="Arial" w:cs="Arial"/>
        </w:rPr>
        <w:t xml:space="preserve"> </w:t>
      </w:r>
      <w:r w:rsidR="00DD02CB">
        <w:rPr>
          <w:rFonts w:ascii="Arial" w:hAnsi="Arial" w:cs="Arial"/>
        </w:rPr>
        <w:t xml:space="preserve">hub </w:t>
      </w:r>
      <w:r w:rsidRPr="000271F0">
        <w:rPr>
          <w:rFonts w:ascii="Arial" w:hAnsi="Arial" w:cs="Arial"/>
        </w:rPr>
        <w:t xml:space="preserve">available to </w:t>
      </w:r>
      <w:r w:rsidR="00F44FC0" w:rsidRPr="000271F0">
        <w:rPr>
          <w:rFonts w:ascii="Arial" w:hAnsi="Arial" w:cs="Arial"/>
        </w:rPr>
        <w:t xml:space="preserve">Newham </w:t>
      </w:r>
      <w:r w:rsidRPr="000271F0">
        <w:rPr>
          <w:rFonts w:ascii="Arial" w:hAnsi="Arial" w:cs="Arial"/>
        </w:rPr>
        <w:t>residents from all backgrounds, including those on low incomes</w:t>
      </w:r>
      <w:r w:rsidR="00075E3A" w:rsidRPr="000271F0">
        <w:rPr>
          <w:rFonts w:ascii="Arial" w:hAnsi="Arial" w:cs="Arial"/>
        </w:rPr>
        <w:t xml:space="preserve"> or with accessibility needs</w:t>
      </w:r>
      <w:r w:rsidRPr="000271F0">
        <w:rPr>
          <w:rFonts w:ascii="Arial" w:hAnsi="Arial" w:cs="Arial"/>
        </w:rPr>
        <w:t>.</w:t>
      </w:r>
    </w:p>
    <w:p w14:paraId="589D384C" w14:textId="0E89D028" w:rsidR="0050209E" w:rsidRPr="000271F0" w:rsidRDefault="00E252F5" w:rsidP="0050209E">
      <w:pPr>
        <w:numPr>
          <w:ilvl w:val="0"/>
          <w:numId w:val="4"/>
        </w:numPr>
        <w:tabs>
          <w:tab w:val="left" w:pos="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Consider </w:t>
      </w:r>
      <w:r w:rsidR="00787508">
        <w:rPr>
          <w:rFonts w:ascii="Arial" w:hAnsi="Arial" w:cs="Arial"/>
        </w:rPr>
        <w:t xml:space="preserve">different membership options for different resident groups, e.g. </w:t>
      </w:r>
      <w:r w:rsidR="0050209E" w:rsidRPr="000271F0">
        <w:rPr>
          <w:rFonts w:ascii="Arial" w:hAnsi="Arial" w:cs="Arial"/>
        </w:rPr>
        <w:t>low</w:t>
      </w:r>
      <w:r>
        <w:rPr>
          <w:rFonts w:ascii="Arial" w:hAnsi="Arial" w:cs="Arial"/>
        </w:rPr>
        <w:t>er</w:t>
      </w:r>
      <w:r w:rsidR="0050209E" w:rsidRPr="000271F0">
        <w:rPr>
          <w:rFonts w:ascii="Arial" w:hAnsi="Arial" w:cs="Arial"/>
        </w:rPr>
        <w:t>-cost or free memberships for residents facing financial hardship</w:t>
      </w:r>
      <w:r>
        <w:rPr>
          <w:rFonts w:ascii="Arial" w:hAnsi="Arial" w:cs="Arial"/>
        </w:rPr>
        <w:t xml:space="preserve"> to encourage use</w:t>
      </w:r>
    </w:p>
    <w:p w14:paraId="40DA3D9A" w14:textId="5FBDCDA6" w:rsidR="0039361C" w:rsidRDefault="0050209E" w:rsidP="0050209E">
      <w:pPr>
        <w:numPr>
          <w:ilvl w:val="0"/>
          <w:numId w:val="4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Demonstrate clear plans for community outreach</w:t>
      </w:r>
      <w:r w:rsidR="00F44FC0" w:rsidRPr="000271F0">
        <w:rPr>
          <w:rFonts w:ascii="Arial" w:hAnsi="Arial" w:cs="Arial"/>
        </w:rPr>
        <w:t xml:space="preserve"> and self-promotion</w:t>
      </w:r>
      <w:r w:rsidRPr="000271F0">
        <w:rPr>
          <w:rFonts w:ascii="Arial" w:hAnsi="Arial" w:cs="Arial"/>
        </w:rPr>
        <w:t>, including social media, workshops, or partnerships with local groups.</w:t>
      </w:r>
      <w:r w:rsidR="005C6F73">
        <w:rPr>
          <w:rFonts w:ascii="Arial" w:hAnsi="Arial" w:cs="Arial"/>
        </w:rPr>
        <w:t xml:space="preserve"> We can support with promotion, if you provide the assets.  </w:t>
      </w:r>
    </w:p>
    <w:p w14:paraId="3794E2A8" w14:textId="77777777" w:rsidR="000271F0" w:rsidRPr="000271F0" w:rsidRDefault="000271F0" w:rsidP="000271F0">
      <w:pPr>
        <w:tabs>
          <w:tab w:val="left" w:pos="500"/>
        </w:tabs>
        <w:ind w:left="360"/>
        <w:rPr>
          <w:rFonts w:ascii="Arial" w:hAnsi="Arial" w:cs="Arial"/>
        </w:rPr>
      </w:pPr>
    </w:p>
    <w:p w14:paraId="0CFF7513" w14:textId="54865791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  <w:b/>
          <w:bCs/>
        </w:rPr>
        <w:t>5. Monitoring &amp; Reporting Requirements</w:t>
      </w:r>
    </w:p>
    <w:p w14:paraId="587A0887" w14:textId="12DCBB1C" w:rsidR="0050209E" w:rsidRPr="000271F0" w:rsidRDefault="0050209E" w:rsidP="00787508">
      <w:pPr>
        <w:rPr>
          <w:rFonts w:ascii="Arial" w:hAnsi="Arial" w:cs="Arial"/>
        </w:rPr>
      </w:pPr>
      <w:r w:rsidRPr="000271F0">
        <w:rPr>
          <w:rFonts w:ascii="Arial" w:hAnsi="Arial" w:cs="Arial"/>
        </w:rPr>
        <w:t>Grant recipients must agree to</w:t>
      </w:r>
      <w:r w:rsidR="00C25D5E" w:rsidRPr="000271F0">
        <w:rPr>
          <w:rFonts w:ascii="Arial" w:hAnsi="Arial" w:cs="Arial"/>
        </w:rPr>
        <w:t xml:space="preserve"> p</w:t>
      </w:r>
      <w:r w:rsidRPr="000271F0">
        <w:rPr>
          <w:rFonts w:ascii="Arial" w:hAnsi="Arial" w:cs="Arial"/>
        </w:rPr>
        <w:t>rovide quarterly reports</w:t>
      </w:r>
      <w:r w:rsidR="00787508">
        <w:rPr>
          <w:rFonts w:ascii="Arial" w:hAnsi="Arial" w:cs="Arial"/>
        </w:rPr>
        <w:t>, which can easily be done through the lending software engine. W</w:t>
      </w:r>
      <w:r w:rsidR="00C25D5E" w:rsidRPr="00C25D5E">
        <w:rPr>
          <w:rFonts w:ascii="Arial" w:hAnsi="Arial" w:cs="Arial"/>
        </w:rPr>
        <w:t>e will provide a simple reporting template </w:t>
      </w:r>
      <w:r w:rsidR="00787508">
        <w:rPr>
          <w:rFonts w:ascii="Arial" w:hAnsi="Arial" w:cs="Arial"/>
        </w:rPr>
        <w:t>covering areas such as</w:t>
      </w:r>
      <w:r w:rsidRPr="000271F0">
        <w:rPr>
          <w:rFonts w:ascii="Arial" w:hAnsi="Arial" w:cs="Arial"/>
        </w:rPr>
        <w:t>:</w:t>
      </w:r>
    </w:p>
    <w:p w14:paraId="5CA61169" w14:textId="77777777" w:rsidR="0050209E" w:rsidRPr="000271F0" w:rsidRDefault="0050209E" w:rsidP="0050209E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Number of items borrowed</w:t>
      </w:r>
    </w:p>
    <w:p w14:paraId="2A311BC0" w14:textId="77777777" w:rsidR="00C25D5E" w:rsidRPr="000271F0" w:rsidRDefault="0050209E" w:rsidP="00C25D5E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Number of residents engaged</w:t>
      </w:r>
    </w:p>
    <w:p w14:paraId="0CFB5C9D" w14:textId="26C003CE" w:rsidR="0050209E" w:rsidRDefault="00C25D5E" w:rsidP="00B141CD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C25D5E">
        <w:rPr>
          <w:rFonts w:ascii="Arial" w:hAnsi="Arial" w:cs="Arial"/>
        </w:rPr>
        <w:t>inventory updates (tools added, retired or repaired)</w:t>
      </w:r>
    </w:p>
    <w:p w14:paraId="147615E4" w14:textId="77777777" w:rsidR="00270DF6" w:rsidRDefault="0092018D" w:rsidP="00D0023C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D0023C">
        <w:rPr>
          <w:rFonts w:ascii="Arial" w:hAnsi="Arial" w:cs="Arial"/>
        </w:rPr>
        <w:t>wider community benefit</w:t>
      </w:r>
    </w:p>
    <w:p w14:paraId="3EFC6578" w14:textId="39412D5D" w:rsidR="0092018D" w:rsidRPr="00D0023C" w:rsidRDefault="0092018D" w:rsidP="00D0023C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D0023C">
        <w:rPr>
          <w:rFonts w:ascii="Arial" w:hAnsi="Arial" w:cs="Arial"/>
        </w:rPr>
        <w:t>volunteer engagement</w:t>
      </w:r>
    </w:p>
    <w:p w14:paraId="2544FB08" w14:textId="66A9B4F9" w:rsidR="0092018D" w:rsidRPr="000271F0" w:rsidRDefault="0092018D" w:rsidP="00B141CD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>
        <w:rPr>
          <w:rFonts w:ascii="Arial" w:hAnsi="Arial" w:cs="Arial"/>
        </w:rPr>
        <w:t>community skills development</w:t>
      </w:r>
    </w:p>
    <w:p w14:paraId="67ED7B29" w14:textId="2CA46912" w:rsidR="00C25D5E" w:rsidRPr="000271F0" w:rsidRDefault="00C25D5E" w:rsidP="00270DF6">
      <w:pPr>
        <w:rPr>
          <w:rFonts w:ascii="Arial" w:hAnsi="Arial" w:cs="Arial"/>
        </w:rPr>
      </w:pPr>
      <w:r w:rsidRPr="00C25D5E">
        <w:rPr>
          <w:rFonts w:ascii="Arial" w:hAnsi="Arial" w:cs="Arial"/>
        </w:rPr>
        <w:t> </w:t>
      </w:r>
    </w:p>
    <w:sectPr w:rsidR="00C25D5E" w:rsidRPr="00027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D844012"/>
    <w:multiLevelType w:val="multilevel"/>
    <w:tmpl w:val="69F8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F7E48"/>
    <w:multiLevelType w:val="multilevel"/>
    <w:tmpl w:val="B1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D76E1"/>
    <w:multiLevelType w:val="multilevel"/>
    <w:tmpl w:val="AE8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27BEA"/>
    <w:multiLevelType w:val="multilevel"/>
    <w:tmpl w:val="2A8EF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120ED"/>
    <w:multiLevelType w:val="multilevel"/>
    <w:tmpl w:val="D44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176A3"/>
    <w:multiLevelType w:val="multilevel"/>
    <w:tmpl w:val="4A7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1328"/>
    <w:multiLevelType w:val="multilevel"/>
    <w:tmpl w:val="34F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7431E"/>
    <w:multiLevelType w:val="multilevel"/>
    <w:tmpl w:val="2AA6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F3FC8"/>
    <w:multiLevelType w:val="multilevel"/>
    <w:tmpl w:val="5F8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932C1"/>
    <w:multiLevelType w:val="multilevel"/>
    <w:tmpl w:val="8E4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6FE8"/>
    <w:multiLevelType w:val="multilevel"/>
    <w:tmpl w:val="CC24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473009"/>
    <w:multiLevelType w:val="multilevel"/>
    <w:tmpl w:val="F564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252CE"/>
    <w:multiLevelType w:val="multilevel"/>
    <w:tmpl w:val="BC1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6366D5"/>
    <w:multiLevelType w:val="multilevel"/>
    <w:tmpl w:val="684EF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67110">
    <w:abstractNumId w:val="9"/>
  </w:num>
  <w:num w:numId="2" w16cid:durableId="2002611402">
    <w:abstractNumId w:val="11"/>
  </w:num>
  <w:num w:numId="3" w16cid:durableId="752240863">
    <w:abstractNumId w:val="5"/>
  </w:num>
  <w:num w:numId="4" w16cid:durableId="347564467">
    <w:abstractNumId w:val="7"/>
  </w:num>
  <w:num w:numId="5" w16cid:durableId="974336669">
    <w:abstractNumId w:val="8"/>
  </w:num>
  <w:num w:numId="6" w16cid:durableId="50830037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484317138">
    <w:abstractNumId w:val="1"/>
  </w:num>
  <w:num w:numId="8" w16cid:durableId="1296182218">
    <w:abstractNumId w:val="12"/>
  </w:num>
  <w:num w:numId="9" w16cid:durableId="5138383">
    <w:abstractNumId w:val="0"/>
  </w:num>
  <w:num w:numId="10" w16cid:durableId="1248346621">
    <w:abstractNumId w:val="4"/>
  </w:num>
  <w:num w:numId="11" w16cid:durableId="1428191947">
    <w:abstractNumId w:val="10"/>
  </w:num>
  <w:num w:numId="12" w16cid:durableId="862283847">
    <w:abstractNumId w:val="2"/>
  </w:num>
  <w:num w:numId="13" w16cid:durableId="847645118">
    <w:abstractNumId w:val="3"/>
  </w:num>
  <w:num w:numId="14" w16cid:durableId="389350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9E"/>
    <w:rsid w:val="000271F0"/>
    <w:rsid w:val="00075E3A"/>
    <w:rsid w:val="00100347"/>
    <w:rsid w:val="00115908"/>
    <w:rsid w:val="0016450B"/>
    <w:rsid w:val="001D293B"/>
    <w:rsid w:val="00204B7C"/>
    <w:rsid w:val="00233ED8"/>
    <w:rsid w:val="00270DF6"/>
    <w:rsid w:val="0039361C"/>
    <w:rsid w:val="003B2E24"/>
    <w:rsid w:val="003F4436"/>
    <w:rsid w:val="004211D1"/>
    <w:rsid w:val="004B3516"/>
    <w:rsid w:val="0050209E"/>
    <w:rsid w:val="00583950"/>
    <w:rsid w:val="0059593A"/>
    <w:rsid w:val="005C6F73"/>
    <w:rsid w:val="0065521E"/>
    <w:rsid w:val="00693FF6"/>
    <w:rsid w:val="00787508"/>
    <w:rsid w:val="007D7B54"/>
    <w:rsid w:val="00857FF2"/>
    <w:rsid w:val="00885362"/>
    <w:rsid w:val="008C1BBC"/>
    <w:rsid w:val="0092018D"/>
    <w:rsid w:val="00922648"/>
    <w:rsid w:val="0094705C"/>
    <w:rsid w:val="00B141CD"/>
    <w:rsid w:val="00BD2DAC"/>
    <w:rsid w:val="00BD7375"/>
    <w:rsid w:val="00C25D5E"/>
    <w:rsid w:val="00C6772D"/>
    <w:rsid w:val="00CF4788"/>
    <w:rsid w:val="00D0023C"/>
    <w:rsid w:val="00D465FB"/>
    <w:rsid w:val="00DD02CB"/>
    <w:rsid w:val="00DD0549"/>
    <w:rsid w:val="00DD3C67"/>
    <w:rsid w:val="00DF034C"/>
    <w:rsid w:val="00E252F5"/>
    <w:rsid w:val="00E37828"/>
    <w:rsid w:val="00E76C3C"/>
    <w:rsid w:val="00EB1DBE"/>
    <w:rsid w:val="00F44FC0"/>
    <w:rsid w:val="00F7027A"/>
    <w:rsid w:val="00F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779185"/>
  <w15:chartTrackingRefBased/>
  <w15:docId w15:val="{F0EC2192-03A8-4E7A-9700-2899894C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0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F44F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4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FC0"/>
    <w:rPr>
      <w:b/>
      <w:bCs/>
      <w:sz w:val="20"/>
      <w:szCs w:val="20"/>
    </w:rPr>
  </w:style>
  <w:style w:type="character" w:customStyle="1" w:styleId="t286pc">
    <w:name w:val="t286pc"/>
    <w:basedOn w:val="DefaultParagraphFont"/>
    <w:rsid w:val="00075E3A"/>
  </w:style>
  <w:style w:type="character" w:styleId="Strong">
    <w:name w:val="Strong"/>
    <w:basedOn w:val="DefaultParagraphFont"/>
    <w:uiPriority w:val="22"/>
    <w:qFormat/>
    <w:rsid w:val="00075E3A"/>
    <w:rPr>
      <w:b/>
      <w:bCs/>
    </w:rPr>
  </w:style>
  <w:style w:type="character" w:customStyle="1" w:styleId="vkekvd">
    <w:name w:val="vkekvd"/>
    <w:basedOn w:val="DefaultParagraphFont"/>
    <w:rsid w:val="00075E3A"/>
  </w:style>
  <w:style w:type="paragraph" w:customStyle="1" w:styleId="paragraph">
    <w:name w:val="paragraph"/>
    <w:basedOn w:val="Normal"/>
    <w:rsid w:val="0002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271F0"/>
  </w:style>
  <w:style w:type="character" w:customStyle="1" w:styleId="eop">
    <w:name w:val="eop"/>
    <w:basedOn w:val="DefaultParagraphFont"/>
    <w:rsid w:val="0002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480</Words>
  <Characters>2812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Vinciguerra</dc:creator>
  <cp:keywords/>
  <dc:description/>
  <cp:lastModifiedBy>Antonella Vinciguerra</cp:lastModifiedBy>
  <cp:revision>5</cp:revision>
  <dcterms:created xsi:type="dcterms:W3CDTF">2026-02-03T18:01:00Z</dcterms:created>
  <dcterms:modified xsi:type="dcterms:W3CDTF">2026-02-18T15:55:00Z</dcterms:modified>
</cp:coreProperties>
</file>