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088D" w14:textId="49D9A1ED" w:rsidR="00D07561" w:rsidRDefault="00C21C92" w:rsidP="00D07561">
      <w:pPr>
        <w:pStyle w:val="Default"/>
        <w:jc w:val="center"/>
      </w:pPr>
      <w:r w:rsidRPr="00F2451A">
        <w:rPr>
          <w:noProof/>
          <w:lang w:eastAsia="en-GB"/>
        </w:rPr>
        <w:drawing>
          <wp:inline distT="0" distB="0" distL="0" distR="0" wp14:anchorId="3D25CBA7" wp14:editId="6E02953D">
            <wp:extent cx="3159989" cy="145534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36" t="20781" r="8134" b="19282"/>
                    <a:stretch/>
                  </pic:blipFill>
                  <pic:spPr bwMode="auto">
                    <a:xfrm>
                      <a:off x="0" y="0"/>
                      <a:ext cx="3161384" cy="1455986"/>
                    </a:xfrm>
                    <a:prstGeom prst="rect">
                      <a:avLst/>
                    </a:prstGeom>
                    <a:ln>
                      <a:noFill/>
                    </a:ln>
                    <a:extLst>
                      <a:ext uri="{53640926-AAD7-44D8-BBD7-CCE9431645EC}">
                        <a14:shadowObscured xmlns:a14="http://schemas.microsoft.com/office/drawing/2010/main"/>
                      </a:ext>
                    </a:extLst>
                  </pic:spPr>
                </pic:pic>
              </a:graphicData>
            </a:graphic>
          </wp:inline>
        </w:drawing>
      </w:r>
    </w:p>
    <w:p w14:paraId="6D764650" w14:textId="77777777" w:rsidR="004445DA" w:rsidRDefault="004445DA" w:rsidP="00D07561">
      <w:pPr>
        <w:pStyle w:val="Default"/>
        <w:jc w:val="center"/>
        <w:rPr>
          <w:b/>
          <w:bCs/>
          <w:sz w:val="23"/>
          <w:szCs w:val="23"/>
        </w:rPr>
      </w:pPr>
    </w:p>
    <w:p w14:paraId="6E6757A6" w14:textId="119DCAB5" w:rsidR="00D07561" w:rsidRDefault="00D07561" w:rsidP="00D07561">
      <w:pPr>
        <w:pStyle w:val="Default"/>
        <w:jc w:val="center"/>
        <w:rPr>
          <w:b/>
          <w:bCs/>
          <w:sz w:val="23"/>
          <w:szCs w:val="23"/>
        </w:rPr>
      </w:pPr>
      <w:r>
        <w:rPr>
          <w:b/>
          <w:bCs/>
          <w:sz w:val="23"/>
          <w:szCs w:val="23"/>
        </w:rPr>
        <w:t>London Borough of Newham</w:t>
      </w:r>
    </w:p>
    <w:p w14:paraId="0D9A7AD6" w14:textId="77777777" w:rsidR="00D07561" w:rsidRDefault="00D07561" w:rsidP="00D07561">
      <w:pPr>
        <w:pStyle w:val="Default"/>
        <w:jc w:val="center"/>
        <w:rPr>
          <w:sz w:val="23"/>
          <w:szCs w:val="23"/>
        </w:rPr>
      </w:pPr>
    </w:p>
    <w:p w14:paraId="7A671D35" w14:textId="77777777" w:rsidR="00D07561" w:rsidRDefault="00D07561" w:rsidP="00D07561">
      <w:pPr>
        <w:pStyle w:val="Default"/>
        <w:jc w:val="center"/>
        <w:rPr>
          <w:b/>
          <w:bCs/>
          <w:sz w:val="23"/>
          <w:szCs w:val="23"/>
        </w:rPr>
      </w:pPr>
      <w:r>
        <w:rPr>
          <w:b/>
          <w:bCs/>
          <w:sz w:val="23"/>
          <w:szCs w:val="23"/>
        </w:rPr>
        <w:t>The Anti-Social Behaviour Crime and Policing Act 2014</w:t>
      </w:r>
    </w:p>
    <w:p w14:paraId="60D886AB" w14:textId="77777777" w:rsidR="00D07561" w:rsidRDefault="00D07561" w:rsidP="00D07561">
      <w:pPr>
        <w:pStyle w:val="Default"/>
        <w:jc w:val="center"/>
        <w:rPr>
          <w:sz w:val="23"/>
          <w:szCs w:val="23"/>
        </w:rPr>
      </w:pPr>
    </w:p>
    <w:p w14:paraId="6DB3373E" w14:textId="0FE80EC5" w:rsidR="00D07561" w:rsidRDefault="00D07561" w:rsidP="00D07561">
      <w:pPr>
        <w:pStyle w:val="Default"/>
        <w:jc w:val="center"/>
        <w:rPr>
          <w:sz w:val="23"/>
          <w:szCs w:val="23"/>
        </w:rPr>
      </w:pPr>
      <w:r>
        <w:rPr>
          <w:b/>
          <w:bCs/>
          <w:sz w:val="23"/>
          <w:szCs w:val="23"/>
        </w:rPr>
        <w:t>THE LONDON BOROUGH OF NEWHAM (</w:t>
      </w:r>
      <w:r w:rsidR="0066625A">
        <w:rPr>
          <w:b/>
          <w:bCs/>
          <w:sz w:val="23"/>
          <w:szCs w:val="23"/>
        </w:rPr>
        <w:t>Misuse of Car Parks</w:t>
      </w:r>
      <w:r>
        <w:rPr>
          <w:b/>
          <w:bCs/>
          <w:sz w:val="23"/>
          <w:szCs w:val="23"/>
        </w:rPr>
        <w:t>)</w:t>
      </w:r>
    </w:p>
    <w:p w14:paraId="0F5B3FA9" w14:textId="548C191F" w:rsidR="00D07561" w:rsidRDefault="00D07561" w:rsidP="00D07561">
      <w:pPr>
        <w:pStyle w:val="Default"/>
        <w:jc w:val="center"/>
        <w:rPr>
          <w:b/>
          <w:bCs/>
          <w:sz w:val="23"/>
          <w:szCs w:val="23"/>
        </w:rPr>
      </w:pPr>
      <w:r>
        <w:rPr>
          <w:b/>
          <w:bCs/>
          <w:sz w:val="23"/>
          <w:szCs w:val="23"/>
        </w:rPr>
        <w:t xml:space="preserve">PUBLIC SPACES PROTECTION ORDER </w:t>
      </w:r>
      <w:r w:rsidR="00C21C92">
        <w:rPr>
          <w:b/>
          <w:bCs/>
          <w:sz w:val="23"/>
          <w:szCs w:val="23"/>
        </w:rPr>
        <w:t>2025</w:t>
      </w:r>
    </w:p>
    <w:p w14:paraId="1DAC96CD" w14:textId="56C174DA" w:rsidR="006F250E" w:rsidRDefault="006F250E" w:rsidP="00D07561">
      <w:pPr>
        <w:pStyle w:val="Default"/>
        <w:jc w:val="center"/>
        <w:rPr>
          <w:b/>
          <w:bCs/>
          <w:sz w:val="23"/>
          <w:szCs w:val="23"/>
        </w:rPr>
      </w:pPr>
    </w:p>
    <w:p w14:paraId="0A7CDC84" w14:textId="77777777" w:rsidR="00D07561" w:rsidRDefault="00D07561" w:rsidP="00D07561">
      <w:pPr>
        <w:pStyle w:val="Default"/>
        <w:rPr>
          <w:sz w:val="23"/>
          <w:szCs w:val="23"/>
        </w:rPr>
      </w:pPr>
    </w:p>
    <w:p w14:paraId="73245B96" w14:textId="77777777" w:rsidR="00D07561" w:rsidRDefault="00D07561" w:rsidP="00D07561">
      <w:pPr>
        <w:pStyle w:val="Default"/>
        <w:rPr>
          <w:sz w:val="23"/>
          <w:szCs w:val="23"/>
        </w:rPr>
      </w:pPr>
      <w:r>
        <w:rPr>
          <w:b/>
          <w:bCs/>
          <w:sz w:val="23"/>
          <w:szCs w:val="23"/>
        </w:rPr>
        <w:t xml:space="preserve">WHEREAS </w:t>
      </w:r>
      <w:r>
        <w:rPr>
          <w:sz w:val="23"/>
          <w:szCs w:val="23"/>
        </w:rPr>
        <w:t xml:space="preserve">the London Borough of Newham (“the Council”) is satisfied that the requirements of sections 59 and 72 of the Anti-Social Behaviour, Crime and Policing Act 2014 (“the Act”) have been satisfied and that it is, in all the circumstances, appropriate to make this Order. </w:t>
      </w:r>
    </w:p>
    <w:p w14:paraId="54DA8D11" w14:textId="77777777" w:rsidR="00D07561" w:rsidRDefault="00D07561" w:rsidP="00D07561">
      <w:pPr>
        <w:pStyle w:val="Default"/>
        <w:rPr>
          <w:sz w:val="23"/>
          <w:szCs w:val="23"/>
        </w:rPr>
      </w:pPr>
    </w:p>
    <w:p w14:paraId="459793B5" w14:textId="77629894" w:rsidR="006F250E" w:rsidRDefault="00D07561" w:rsidP="006F250E">
      <w:pPr>
        <w:pStyle w:val="Default"/>
        <w:rPr>
          <w:bCs/>
          <w:sz w:val="23"/>
          <w:szCs w:val="23"/>
        </w:rPr>
      </w:pPr>
      <w:r>
        <w:rPr>
          <w:b/>
          <w:bCs/>
          <w:sz w:val="23"/>
          <w:szCs w:val="23"/>
        </w:rPr>
        <w:t xml:space="preserve">WHEREAS </w:t>
      </w:r>
      <w:r w:rsidR="006F250E" w:rsidRPr="006F250E">
        <w:rPr>
          <w:bCs/>
          <w:sz w:val="23"/>
          <w:szCs w:val="23"/>
        </w:rPr>
        <w:t>The Council is satisfied that the two condition</w:t>
      </w:r>
      <w:r w:rsidR="006F250E">
        <w:rPr>
          <w:bCs/>
          <w:sz w:val="23"/>
          <w:szCs w:val="23"/>
        </w:rPr>
        <w:t xml:space="preserve">s below have been met, in that </w:t>
      </w:r>
    </w:p>
    <w:p w14:paraId="1C844FCB" w14:textId="77777777" w:rsidR="006F250E" w:rsidRPr="006F250E" w:rsidRDefault="006F250E" w:rsidP="006F250E">
      <w:pPr>
        <w:pStyle w:val="Default"/>
        <w:rPr>
          <w:bCs/>
          <w:sz w:val="23"/>
          <w:szCs w:val="23"/>
        </w:rPr>
      </w:pPr>
    </w:p>
    <w:p w14:paraId="630A6E27" w14:textId="0DEBA32C" w:rsidR="006F250E" w:rsidRDefault="0066625A" w:rsidP="006F250E">
      <w:pPr>
        <w:pStyle w:val="Default"/>
        <w:numPr>
          <w:ilvl w:val="0"/>
          <w:numId w:val="4"/>
        </w:numPr>
        <w:rPr>
          <w:bCs/>
          <w:sz w:val="23"/>
          <w:szCs w:val="23"/>
        </w:rPr>
      </w:pPr>
      <w:r>
        <w:rPr>
          <w:bCs/>
          <w:sz w:val="23"/>
          <w:szCs w:val="23"/>
        </w:rPr>
        <w:t>A</w:t>
      </w:r>
      <w:r w:rsidR="006F250E" w:rsidRPr="006F250E">
        <w:rPr>
          <w:bCs/>
          <w:sz w:val="23"/>
          <w:szCs w:val="23"/>
        </w:rPr>
        <w:t>ctivities carried on in the restricted area as described below have had a detrimental effect on the quality of life of those in the locality, or it is likely that these activities will be carried on in a public place and they will h</w:t>
      </w:r>
      <w:r>
        <w:rPr>
          <w:bCs/>
          <w:sz w:val="23"/>
          <w:szCs w:val="23"/>
        </w:rPr>
        <w:t>ave such an effect.</w:t>
      </w:r>
    </w:p>
    <w:p w14:paraId="23DF89A8" w14:textId="77777777" w:rsidR="0066625A" w:rsidRPr="006F250E" w:rsidRDefault="0066625A" w:rsidP="0066625A">
      <w:pPr>
        <w:pStyle w:val="Default"/>
        <w:ind w:left="720"/>
        <w:rPr>
          <w:bCs/>
          <w:sz w:val="23"/>
          <w:szCs w:val="23"/>
        </w:rPr>
      </w:pPr>
    </w:p>
    <w:p w14:paraId="2230C17C" w14:textId="6A277507" w:rsidR="006F250E" w:rsidRPr="006F250E" w:rsidRDefault="0066625A" w:rsidP="006F250E">
      <w:pPr>
        <w:pStyle w:val="Default"/>
        <w:numPr>
          <w:ilvl w:val="0"/>
          <w:numId w:val="4"/>
        </w:numPr>
        <w:rPr>
          <w:bCs/>
          <w:sz w:val="23"/>
          <w:szCs w:val="23"/>
        </w:rPr>
      </w:pPr>
      <w:r>
        <w:rPr>
          <w:bCs/>
          <w:sz w:val="23"/>
          <w:szCs w:val="23"/>
        </w:rPr>
        <w:t>T</w:t>
      </w:r>
      <w:r w:rsidR="006F250E" w:rsidRPr="006F250E">
        <w:rPr>
          <w:bCs/>
          <w:sz w:val="23"/>
          <w:szCs w:val="23"/>
        </w:rPr>
        <w:t>he effect, or likely effect, of the activities is, or is likely to be, of a persistent or continuing nature, is, or is likely to be, such as to make the activities unreasonable, and justifies the restrictions imposed by the Order.</w:t>
      </w:r>
    </w:p>
    <w:p w14:paraId="5F629D84" w14:textId="25541F32" w:rsidR="00D07561" w:rsidRDefault="00D07561" w:rsidP="00D07561">
      <w:pPr>
        <w:pStyle w:val="Default"/>
        <w:rPr>
          <w:sz w:val="23"/>
          <w:szCs w:val="23"/>
        </w:rPr>
      </w:pPr>
    </w:p>
    <w:p w14:paraId="4D1CCCB2" w14:textId="16B0CE40" w:rsidR="00D07561" w:rsidRDefault="00D07561" w:rsidP="00D07561">
      <w:pPr>
        <w:pStyle w:val="Default"/>
        <w:rPr>
          <w:sz w:val="23"/>
          <w:szCs w:val="23"/>
        </w:rPr>
      </w:pPr>
      <w:r>
        <w:rPr>
          <w:b/>
          <w:bCs/>
          <w:sz w:val="23"/>
          <w:szCs w:val="23"/>
        </w:rPr>
        <w:t xml:space="preserve">WHEREAS </w:t>
      </w:r>
      <w:r>
        <w:rPr>
          <w:sz w:val="23"/>
          <w:szCs w:val="23"/>
        </w:rPr>
        <w:t xml:space="preserve">the Council has had particular regard to the rights of freedom of expression and freedom of assembly set out in articles 10 and 11 of the European Convention on Human Rights. </w:t>
      </w:r>
    </w:p>
    <w:p w14:paraId="17E53004" w14:textId="21561899" w:rsidR="00BE5166" w:rsidRDefault="00BE5166" w:rsidP="00D07561">
      <w:pPr>
        <w:pStyle w:val="Default"/>
        <w:rPr>
          <w:sz w:val="23"/>
          <w:szCs w:val="23"/>
        </w:rPr>
      </w:pPr>
    </w:p>
    <w:p w14:paraId="26117465" w14:textId="47E24ADE" w:rsidR="006F250E" w:rsidRDefault="00BE5166" w:rsidP="006F250E">
      <w:pPr>
        <w:pStyle w:val="Default"/>
        <w:rPr>
          <w:sz w:val="23"/>
          <w:szCs w:val="23"/>
        </w:rPr>
      </w:pPr>
      <w:r w:rsidRPr="00BE5166">
        <w:rPr>
          <w:b/>
          <w:sz w:val="23"/>
          <w:szCs w:val="23"/>
        </w:rPr>
        <w:t>THE COUNCIL MAKES</w:t>
      </w:r>
      <w:r w:rsidRPr="00BE5166">
        <w:rPr>
          <w:sz w:val="23"/>
          <w:szCs w:val="23"/>
        </w:rPr>
        <w:t xml:space="preserve"> the following Order in exercise of its powers under section 59 of the Act.</w:t>
      </w:r>
      <w:r>
        <w:rPr>
          <w:sz w:val="23"/>
          <w:szCs w:val="23"/>
        </w:rPr>
        <w:t xml:space="preserve"> </w:t>
      </w:r>
      <w:r w:rsidR="006F250E" w:rsidRPr="006F250E">
        <w:rPr>
          <w:sz w:val="23"/>
          <w:szCs w:val="23"/>
        </w:rPr>
        <w:t xml:space="preserve">This Order comes into force on </w:t>
      </w:r>
      <w:r w:rsidR="002C306D">
        <w:rPr>
          <w:sz w:val="23"/>
          <w:szCs w:val="23"/>
        </w:rPr>
        <w:t>11</w:t>
      </w:r>
      <w:r w:rsidR="002C306D" w:rsidRPr="002C306D">
        <w:rPr>
          <w:sz w:val="23"/>
          <w:szCs w:val="23"/>
          <w:vertAlign w:val="superscript"/>
        </w:rPr>
        <w:t>th</w:t>
      </w:r>
      <w:r w:rsidR="002C306D">
        <w:rPr>
          <w:sz w:val="23"/>
          <w:szCs w:val="23"/>
        </w:rPr>
        <w:t xml:space="preserve"> May 2026</w:t>
      </w:r>
      <w:r w:rsidR="006F250E" w:rsidRPr="006F250E">
        <w:rPr>
          <w:sz w:val="23"/>
          <w:szCs w:val="23"/>
        </w:rPr>
        <w:t xml:space="preserve"> and ends on </w:t>
      </w:r>
      <w:r w:rsidR="002C306D">
        <w:rPr>
          <w:sz w:val="23"/>
          <w:szCs w:val="23"/>
        </w:rPr>
        <w:t>10</w:t>
      </w:r>
      <w:r w:rsidR="002C306D" w:rsidRPr="002C306D">
        <w:rPr>
          <w:sz w:val="23"/>
          <w:szCs w:val="23"/>
          <w:vertAlign w:val="superscript"/>
        </w:rPr>
        <w:t>th</w:t>
      </w:r>
      <w:r w:rsidR="002C306D">
        <w:rPr>
          <w:sz w:val="23"/>
          <w:szCs w:val="23"/>
        </w:rPr>
        <w:t xml:space="preserve"> May 2029, </w:t>
      </w:r>
      <w:r w:rsidR="006F250E" w:rsidRPr="006F250E">
        <w:rPr>
          <w:sz w:val="23"/>
          <w:szCs w:val="23"/>
        </w:rPr>
        <w:t>unless extended by further Orders under the Council's statutory powers. The PSPO will remain in place for a maximum term of 3 years, subject to any variation or extension.</w:t>
      </w:r>
    </w:p>
    <w:p w14:paraId="6A238015" w14:textId="77777777" w:rsidR="006F250E" w:rsidRDefault="006F250E" w:rsidP="006F250E">
      <w:pPr>
        <w:pStyle w:val="Default"/>
        <w:rPr>
          <w:sz w:val="23"/>
          <w:szCs w:val="23"/>
        </w:rPr>
      </w:pPr>
    </w:p>
    <w:p w14:paraId="3235A547" w14:textId="2987752E" w:rsidR="006F250E" w:rsidRDefault="006F250E" w:rsidP="006F250E">
      <w:pPr>
        <w:pStyle w:val="Default"/>
        <w:rPr>
          <w:sz w:val="23"/>
          <w:szCs w:val="23"/>
        </w:rPr>
      </w:pPr>
      <w:r w:rsidRPr="006F250E">
        <w:rPr>
          <w:sz w:val="23"/>
          <w:szCs w:val="23"/>
        </w:rPr>
        <w:t xml:space="preserve">This Order applies to all </w:t>
      </w:r>
      <w:r w:rsidR="0066625A">
        <w:rPr>
          <w:sz w:val="23"/>
          <w:szCs w:val="23"/>
        </w:rPr>
        <w:t>LBN owned / managed car park</w:t>
      </w:r>
      <w:r w:rsidRPr="006F250E">
        <w:rPr>
          <w:sz w:val="23"/>
          <w:szCs w:val="23"/>
        </w:rPr>
        <w:t>s</w:t>
      </w:r>
      <w:r w:rsidR="00A254C7">
        <w:rPr>
          <w:sz w:val="23"/>
          <w:szCs w:val="23"/>
        </w:rPr>
        <w:t xml:space="preserve"> and those listed in </w:t>
      </w:r>
      <w:r w:rsidR="0066625A">
        <w:rPr>
          <w:sz w:val="23"/>
          <w:szCs w:val="23"/>
        </w:rPr>
        <w:t>schedule one below</w:t>
      </w:r>
      <w:r w:rsidRPr="006F250E">
        <w:rPr>
          <w:sz w:val="23"/>
          <w:szCs w:val="23"/>
        </w:rPr>
        <w:t xml:space="preserve">. </w:t>
      </w:r>
    </w:p>
    <w:p w14:paraId="4479509B" w14:textId="7BC3955E" w:rsidR="0066625A" w:rsidRPr="006F250E" w:rsidRDefault="0066625A" w:rsidP="006F250E">
      <w:pPr>
        <w:pStyle w:val="Default"/>
        <w:rPr>
          <w:sz w:val="23"/>
          <w:szCs w:val="23"/>
        </w:rPr>
      </w:pPr>
    </w:p>
    <w:p w14:paraId="1C1524FD" w14:textId="5F0B2BC7" w:rsidR="006F250E" w:rsidRDefault="006F250E" w:rsidP="006F250E">
      <w:pPr>
        <w:pStyle w:val="Default"/>
        <w:rPr>
          <w:b/>
          <w:sz w:val="23"/>
          <w:szCs w:val="23"/>
        </w:rPr>
      </w:pPr>
      <w:r w:rsidRPr="006F250E">
        <w:rPr>
          <w:b/>
          <w:sz w:val="23"/>
          <w:szCs w:val="23"/>
        </w:rPr>
        <w:t>The Order imposes that:</w:t>
      </w:r>
    </w:p>
    <w:p w14:paraId="4A9B52ED" w14:textId="79EED859" w:rsidR="00E70A47" w:rsidRPr="00E70A47" w:rsidRDefault="00E70A47" w:rsidP="006F250E">
      <w:pPr>
        <w:pStyle w:val="Default"/>
        <w:rPr>
          <w:sz w:val="23"/>
          <w:szCs w:val="23"/>
        </w:rPr>
      </w:pPr>
    </w:p>
    <w:p w14:paraId="72BB974E" w14:textId="2166F2AA" w:rsidR="006F250E" w:rsidRPr="006F250E" w:rsidRDefault="00BE51F7" w:rsidP="006F250E">
      <w:pPr>
        <w:pStyle w:val="Default"/>
        <w:rPr>
          <w:b/>
          <w:sz w:val="23"/>
          <w:szCs w:val="23"/>
        </w:rPr>
      </w:pPr>
      <w:r w:rsidRPr="00BE51F7">
        <w:rPr>
          <w:sz w:val="23"/>
          <w:szCs w:val="23"/>
        </w:rPr>
        <w:t>No person/s shall engage in any form of anti-social behaviour within identified carparks across the borough that is likely to cause harassment, alarm and distress.</w:t>
      </w:r>
    </w:p>
    <w:p w14:paraId="42835691" w14:textId="1A516BFB" w:rsidR="00595DE8" w:rsidRDefault="00595DE8" w:rsidP="00595DE8">
      <w:pPr>
        <w:pStyle w:val="Default"/>
        <w:rPr>
          <w:sz w:val="23"/>
          <w:szCs w:val="23"/>
        </w:rPr>
      </w:pPr>
    </w:p>
    <w:p w14:paraId="40A829AA" w14:textId="77777777" w:rsidR="00BE51F7" w:rsidRDefault="00BE51F7" w:rsidP="00595DE8">
      <w:pPr>
        <w:pStyle w:val="Default"/>
        <w:rPr>
          <w:sz w:val="23"/>
          <w:szCs w:val="23"/>
        </w:rPr>
      </w:pPr>
    </w:p>
    <w:p w14:paraId="4F89B6BC" w14:textId="76DE8444" w:rsidR="00BE5166" w:rsidRDefault="00BE5166" w:rsidP="00BE5166">
      <w:pPr>
        <w:pStyle w:val="Default"/>
        <w:rPr>
          <w:b/>
          <w:sz w:val="23"/>
          <w:szCs w:val="23"/>
        </w:rPr>
      </w:pPr>
      <w:r w:rsidRPr="00BE5166">
        <w:rPr>
          <w:b/>
          <w:sz w:val="23"/>
          <w:szCs w:val="23"/>
        </w:rPr>
        <w:lastRenderedPageBreak/>
        <w:t>Penalty</w:t>
      </w:r>
    </w:p>
    <w:p w14:paraId="5185098E" w14:textId="77777777" w:rsidR="00BE5166" w:rsidRPr="00BE5166" w:rsidRDefault="00BE5166" w:rsidP="00BE5166">
      <w:pPr>
        <w:pStyle w:val="Default"/>
        <w:rPr>
          <w:b/>
          <w:sz w:val="23"/>
          <w:szCs w:val="23"/>
        </w:rPr>
      </w:pPr>
    </w:p>
    <w:p w14:paraId="71342A0D" w14:textId="242C16A5" w:rsidR="00BE5166" w:rsidRDefault="00BE5166" w:rsidP="00BE5166">
      <w:pPr>
        <w:pStyle w:val="Default"/>
        <w:rPr>
          <w:sz w:val="23"/>
          <w:szCs w:val="23"/>
        </w:rPr>
      </w:pPr>
      <w:r w:rsidRPr="00BE5166">
        <w:rPr>
          <w:sz w:val="23"/>
          <w:szCs w:val="23"/>
        </w:rPr>
        <w:t>Any person who fails without reasonable excuse to comply with any of the requirements or prohibitions in this Order shall be liable on summary conviction to a fine not exceeding level 3 (currently £1,000) on the standard scale.</w:t>
      </w:r>
    </w:p>
    <w:p w14:paraId="4A6D7D53" w14:textId="77777777" w:rsidR="00BE5166" w:rsidRPr="00BE5166" w:rsidRDefault="00BE5166" w:rsidP="00BE5166">
      <w:pPr>
        <w:pStyle w:val="Default"/>
        <w:rPr>
          <w:sz w:val="23"/>
          <w:szCs w:val="23"/>
        </w:rPr>
      </w:pPr>
    </w:p>
    <w:p w14:paraId="793E3A2B" w14:textId="656DBAA2" w:rsidR="00BE5166" w:rsidRDefault="00BE5166" w:rsidP="00BE5166">
      <w:pPr>
        <w:pStyle w:val="Default"/>
        <w:rPr>
          <w:b/>
          <w:sz w:val="23"/>
          <w:szCs w:val="23"/>
        </w:rPr>
      </w:pPr>
      <w:r w:rsidRPr="00BE5166">
        <w:rPr>
          <w:b/>
          <w:sz w:val="23"/>
          <w:szCs w:val="23"/>
        </w:rPr>
        <w:t>Fixed Penalty</w:t>
      </w:r>
    </w:p>
    <w:p w14:paraId="3D9DBEC1" w14:textId="77777777" w:rsidR="00BE5166" w:rsidRPr="00BE5166" w:rsidRDefault="00BE5166" w:rsidP="00BE5166">
      <w:pPr>
        <w:pStyle w:val="Default"/>
        <w:rPr>
          <w:b/>
          <w:sz w:val="23"/>
          <w:szCs w:val="23"/>
        </w:rPr>
      </w:pPr>
    </w:p>
    <w:p w14:paraId="634A70CA" w14:textId="2F6EF511" w:rsidR="00BE5166" w:rsidRPr="00BE5166" w:rsidRDefault="00BE5166" w:rsidP="00BE5166">
      <w:pPr>
        <w:pStyle w:val="Default"/>
        <w:rPr>
          <w:sz w:val="23"/>
          <w:szCs w:val="23"/>
        </w:rPr>
      </w:pPr>
      <w:r w:rsidRPr="00BE5166">
        <w:rPr>
          <w:sz w:val="23"/>
          <w:szCs w:val="23"/>
        </w:rPr>
        <w:t>Police Officers, Police Community</w:t>
      </w:r>
      <w:r>
        <w:rPr>
          <w:sz w:val="23"/>
          <w:szCs w:val="23"/>
        </w:rPr>
        <w:t xml:space="preserve"> Support Officers and </w:t>
      </w:r>
      <w:r w:rsidRPr="00BE5166">
        <w:rPr>
          <w:sz w:val="23"/>
          <w:szCs w:val="23"/>
        </w:rPr>
        <w:t xml:space="preserve">the </w:t>
      </w:r>
      <w:r>
        <w:rPr>
          <w:sz w:val="23"/>
          <w:szCs w:val="23"/>
        </w:rPr>
        <w:t>C</w:t>
      </w:r>
      <w:r w:rsidRPr="00BE5166">
        <w:rPr>
          <w:sz w:val="23"/>
          <w:szCs w:val="23"/>
        </w:rPr>
        <w:t xml:space="preserve">ouncil’s </w:t>
      </w:r>
      <w:r>
        <w:rPr>
          <w:sz w:val="23"/>
          <w:szCs w:val="23"/>
        </w:rPr>
        <w:t xml:space="preserve">Community Safety Enforcement </w:t>
      </w:r>
      <w:r w:rsidRPr="00BE5166">
        <w:rPr>
          <w:sz w:val="23"/>
          <w:szCs w:val="23"/>
        </w:rPr>
        <w:t xml:space="preserve">Officers and other authorised personnel can issue Fixed Penalty Notices (FPNs) to people who </w:t>
      </w:r>
      <w:r>
        <w:rPr>
          <w:sz w:val="23"/>
          <w:szCs w:val="23"/>
        </w:rPr>
        <w:t>fail to comply with any of the requirements in this order.</w:t>
      </w:r>
      <w:r w:rsidRPr="00BE5166">
        <w:rPr>
          <w:sz w:val="23"/>
          <w:szCs w:val="23"/>
        </w:rPr>
        <w:t xml:space="preserve"> A person committing an offence will have 14 days to pay </w:t>
      </w:r>
      <w:r w:rsidR="004445DA">
        <w:rPr>
          <w:sz w:val="23"/>
          <w:szCs w:val="23"/>
        </w:rPr>
        <w:t>the fixed penalty of £100 (or £8</w:t>
      </w:r>
      <w:r w:rsidRPr="00BE5166">
        <w:rPr>
          <w:sz w:val="23"/>
          <w:szCs w:val="23"/>
        </w:rPr>
        <w:t>0 if pa</w:t>
      </w:r>
      <w:r w:rsidR="004445DA">
        <w:rPr>
          <w:sz w:val="23"/>
          <w:szCs w:val="23"/>
        </w:rPr>
        <w:t>id within 10</w:t>
      </w:r>
      <w:r w:rsidRPr="00BE5166">
        <w:rPr>
          <w:sz w:val="23"/>
          <w:szCs w:val="23"/>
        </w:rPr>
        <w:t xml:space="preserve"> days), failing which they may be prosecuted.</w:t>
      </w:r>
    </w:p>
    <w:p w14:paraId="5D54C7CB" w14:textId="77777777" w:rsidR="002710D1" w:rsidRDefault="002710D1" w:rsidP="00D07561">
      <w:pPr>
        <w:pStyle w:val="Default"/>
        <w:ind w:left="851" w:hanging="851"/>
        <w:rPr>
          <w:sz w:val="23"/>
          <w:szCs w:val="23"/>
        </w:rPr>
      </w:pPr>
    </w:p>
    <w:p w14:paraId="7F322173" w14:textId="0F43572E" w:rsidR="00D07561" w:rsidRDefault="0066625A" w:rsidP="00D07561">
      <w:pPr>
        <w:pStyle w:val="Default"/>
        <w:rPr>
          <w:b/>
          <w:sz w:val="23"/>
          <w:szCs w:val="23"/>
        </w:rPr>
      </w:pPr>
      <w:r w:rsidRPr="0066625A">
        <w:rPr>
          <w:b/>
          <w:sz w:val="23"/>
          <w:szCs w:val="23"/>
        </w:rPr>
        <w:t>Schedule one</w:t>
      </w:r>
      <w:r w:rsidR="00DC7A40">
        <w:rPr>
          <w:b/>
          <w:sz w:val="23"/>
          <w:szCs w:val="23"/>
        </w:rPr>
        <w:t xml:space="preserve"> (Car Parks)</w:t>
      </w:r>
    </w:p>
    <w:p w14:paraId="3DDDC897" w14:textId="00652A1E" w:rsidR="0066625A" w:rsidRDefault="0066625A" w:rsidP="00D07561">
      <w:pPr>
        <w:pStyle w:val="Default"/>
        <w:rPr>
          <w:b/>
          <w:sz w:val="23"/>
          <w:szCs w:val="23"/>
        </w:rPr>
      </w:pPr>
    </w:p>
    <w:tbl>
      <w:tblPr>
        <w:tblStyle w:val="TableGrid"/>
        <w:tblW w:w="0" w:type="auto"/>
        <w:tblLook w:val="04A0" w:firstRow="1" w:lastRow="0" w:firstColumn="1" w:lastColumn="0" w:noHBand="0" w:noVBand="1"/>
      </w:tblPr>
      <w:tblGrid>
        <w:gridCol w:w="4508"/>
      </w:tblGrid>
      <w:tr w:rsidR="00DC7A40" w14:paraId="456F2992" w14:textId="77777777" w:rsidTr="0066625A">
        <w:tc>
          <w:tcPr>
            <w:tcW w:w="4508" w:type="dxa"/>
          </w:tcPr>
          <w:p w14:paraId="74D689CC" w14:textId="04AECB51" w:rsidR="00DC7A40" w:rsidRDefault="00DC7A40" w:rsidP="00DC7A40">
            <w:pPr>
              <w:pStyle w:val="Default"/>
              <w:rPr>
                <w:b/>
                <w:sz w:val="23"/>
                <w:szCs w:val="23"/>
              </w:rPr>
            </w:pPr>
            <w:r w:rsidRPr="001D0072">
              <w:t>Madge Gill Way</w:t>
            </w:r>
          </w:p>
        </w:tc>
      </w:tr>
      <w:tr w:rsidR="00DC7A40" w14:paraId="0D562F08" w14:textId="77777777" w:rsidTr="0066625A">
        <w:tc>
          <w:tcPr>
            <w:tcW w:w="4508" w:type="dxa"/>
          </w:tcPr>
          <w:p w14:paraId="4CA84A03" w14:textId="40BAA377" w:rsidR="00DC7A40" w:rsidRDefault="00DC7A40" w:rsidP="00DC7A40">
            <w:pPr>
              <w:pStyle w:val="Default"/>
              <w:rPr>
                <w:b/>
                <w:sz w:val="23"/>
                <w:szCs w:val="23"/>
              </w:rPr>
            </w:pPr>
            <w:r w:rsidRPr="001D0072">
              <w:t>Market Place</w:t>
            </w:r>
          </w:p>
        </w:tc>
      </w:tr>
      <w:tr w:rsidR="00DC7A40" w14:paraId="0E1EAFF0" w14:textId="77777777" w:rsidTr="0066625A">
        <w:tc>
          <w:tcPr>
            <w:tcW w:w="4508" w:type="dxa"/>
          </w:tcPr>
          <w:p w14:paraId="4AA965A4" w14:textId="531DD92E" w:rsidR="00DC7A40" w:rsidRDefault="00DC7A40" w:rsidP="00DC7A40">
            <w:pPr>
              <w:pStyle w:val="Default"/>
              <w:rPr>
                <w:b/>
                <w:sz w:val="23"/>
                <w:szCs w:val="23"/>
              </w:rPr>
            </w:pPr>
            <w:r w:rsidRPr="001D0072">
              <w:t>Queens Market</w:t>
            </w:r>
          </w:p>
        </w:tc>
      </w:tr>
      <w:tr w:rsidR="00DC7A40" w14:paraId="0763B552" w14:textId="77777777" w:rsidTr="0066625A">
        <w:tc>
          <w:tcPr>
            <w:tcW w:w="4508" w:type="dxa"/>
          </w:tcPr>
          <w:p w14:paraId="5A031424" w14:textId="4F5F0CA0" w:rsidR="00DC7A40" w:rsidRDefault="00DC7A40" w:rsidP="00DC7A40">
            <w:pPr>
              <w:pStyle w:val="Default"/>
              <w:rPr>
                <w:b/>
                <w:sz w:val="23"/>
                <w:szCs w:val="23"/>
              </w:rPr>
            </w:pPr>
            <w:r w:rsidRPr="001D0072">
              <w:t>Sels</w:t>
            </w:r>
            <w:r w:rsidR="002C306D">
              <w:t>d</w:t>
            </w:r>
            <w:r w:rsidRPr="001D0072">
              <w:t>on Road</w:t>
            </w:r>
          </w:p>
        </w:tc>
      </w:tr>
      <w:tr w:rsidR="00DC7A40" w14:paraId="4AE5296A" w14:textId="77777777" w:rsidTr="0066625A">
        <w:tc>
          <w:tcPr>
            <w:tcW w:w="4508" w:type="dxa"/>
          </w:tcPr>
          <w:p w14:paraId="6AE6D898" w14:textId="154855D1" w:rsidR="00DC7A40" w:rsidRDefault="00DC7A40" w:rsidP="00DC7A40">
            <w:pPr>
              <w:pStyle w:val="Default"/>
              <w:rPr>
                <w:b/>
                <w:sz w:val="23"/>
                <w:szCs w:val="23"/>
              </w:rPr>
            </w:pPr>
            <w:r w:rsidRPr="001D0072">
              <w:t>Shaftesbury Road</w:t>
            </w:r>
          </w:p>
        </w:tc>
      </w:tr>
      <w:tr w:rsidR="00DC7A40" w14:paraId="280BB637" w14:textId="77777777" w:rsidTr="0066625A">
        <w:tc>
          <w:tcPr>
            <w:tcW w:w="4508" w:type="dxa"/>
          </w:tcPr>
          <w:p w14:paraId="2C858493" w14:textId="1310E714" w:rsidR="00DC7A40" w:rsidRDefault="00DC7A40" w:rsidP="00DC7A40">
            <w:pPr>
              <w:pStyle w:val="Default"/>
              <w:rPr>
                <w:b/>
                <w:sz w:val="23"/>
                <w:szCs w:val="23"/>
              </w:rPr>
            </w:pPr>
            <w:r w:rsidRPr="001D0072">
              <w:t>Stratford Multi – Storey</w:t>
            </w:r>
          </w:p>
        </w:tc>
      </w:tr>
      <w:tr w:rsidR="00DC7A40" w14:paraId="6786A382" w14:textId="77777777" w:rsidTr="0066625A">
        <w:tc>
          <w:tcPr>
            <w:tcW w:w="4508" w:type="dxa"/>
          </w:tcPr>
          <w:p w14:paraId="49A6C63E" w14:textId="0A7DADEE" w:rsidR="00DC7A40" w:rsidRDefault="00DC7A40" w:rsidP="00DC7A40">
            <w:pPr>
              <w:pStyle w:val="Default"/>
              <w:rPr>
                <w:b/>
                <w:sz w:val="23"/>
                <w:szCs w:val="23"/>
              </w:rPr>
            </w:pPr>
            <w:r w:rsidRPr="001D0072">
              <w:t>Stratford Town Hall</w:t>
            </w:r>
          </w:p>
        </w:tc>
      </w:tr>
      <w:tr w:rsidR="00DC7A40" w14:paraId="638DC699" w14:textId="77777777" w:rsidTr="0066625A">
        <w:tc>
          <w:tcPr>
            <w:tcW w:w="4508" w:type="dxa"/>
          </w:tcPr>
          <w:p w14:paraId="041A3CFF" w14:textId="548A6B1F" w:rsidR="00DC7A40" w:rsidRDefault="00DC7A40" w:rsidP="00DC7A40">
            <w:pPr>
              <w:pStyle w:val="Default"/>
              <w:rPr>
                <w:b/>
                <w:sz w:val="23"/>
                <w:szCs w:val="23"/>
              </w:rPr>
            </w:pPr>
            <w:r w:rsidRPr="001D0072">
              <w:t>Will Thorne Pavilion</w:t>
            </w:r>
          </w:p>
        </w:tc>
      </w:tr>
    </w:tbl>
    <w:p w14:paraId="440D6B88" w14:textId="77777777" w:rsidR="0066625A" w:rsidRPr="0066625A" w:rsidRDefault="0066625A" w:rsidP="00D07561">
      <w:pPr>
        <w:pStyle w:val="Default"/>
        <w:rPr>
          <w:b/>
          <w:sz w:val="23"/>
          <w:szCs w:val="23"/>
        </w:rPr>
      </w:pPr>
    </w:p>
    <w:p w14:paraId="20C3DBE3" w14:textId="3270E64F" w:rsidR="0066625A" w:rsidRDefault="0066625A" w:rsidP="00D07561">
      <w:pPr>
        <w:pStyle w:val="Default"/>
        <w:rPr>
          <w:sz w:val="23"/>
          <w:szCs w:val="23"/>
        </w:rPr>
      </w:pPr>
    </w:p>
    <w:p w14:paraId="30403074" w14:textId="77777777" w:rsidR="0066625A" w:rsidRDefault="0066625A" w:rsidP="00D07561">
      <w:pPr>
        <w:pStyle w:val="Default"/>
        <w:rPr>
          <w:sz w:val="23"/>
          <w:szCs w:val="23"/>
        </w:rPr>
      </w:pPr>
    </w:p>
    <w:p w14:paraId="3511B7D9" w14:textId="76E7CFAE" w:rsidR="00452DCF" w:rsidRDefault="00452DCF" w:rsidP="008422B7">
      <w:pPr>
        <w:pStyle w:val="Default"/>
        <w:rPr>
          <w:b/>
          <w:bCs/>
          <w:sz w:val="23"/>
          <w:szCs w:val="23"/>
        </w:rPr>
      </w:pPr>
    </w:p>
    <w:p w14:paraId="7E2E916A" w14:textId="01FD0093" w:rsidR="00452DCF" w:rsidRDefault="00452DCF" w:rsidP="008422B7">
      <w:pPr>
        <w:pStyle w:val="Default"/>
        <w:rPr>
          <w:b/>
          <w:bCs/>
          <w:sz w:val="23"/>
          <w:szCs w:val="23"/>
        </w:rPr>
      </w:pPr>
    </w:p>
    <w:p w14:paraId="387292FA" w14:textId="77777777" w:rsidR="008422B7" w:rsidRDefault="008422B7" w:rsidP="00D07561">
      <w:pPr>
        <w:pStyle w:val="Default"/>
        <w:rPr>
          <w:sz w:val="23"/>
          <w:szCs w:val="23"/>
        </w:rPr>
      </w:pPr>
    </w:p>
    <w:p w14:paraId="1E7D65F0" w14:textId="77777777" w:rsidR="008422B7" w:rsidRDefault="008422B7" w:rsidP="00D07561">
      <w:pPr>
        <w:pStyle w:val="Default"/>
        <w:rPr>
          <w:sz w:val="23"/>
          <w:szCs w:val="23"/>
        </w:rPr>
      </w:pPr>
    </w:p>
    <w:p w14:paraId="4BBC7391" w14:textId="77777777" w:rsidR="008422B7" w:rsidRDefault="008422B7" w:rsidP="00D07561">
      <w:pPr>
        <w:pStyle w:val="Default"/>
        <w:rPr>
          <w:sz w:val="23"/>
          <w:szCs w:val="23"/>
        </w:rPr>
      </w:pPr>
    </w:p>
    <w:p w14:paraId="17AA512D" w14:textId="77777777" w:rsidR="00D07561" w:rsidRDefault="00D07561" w:rsidP="00D07561">
      <w:pPr>
        <w:pStyle w:val="Default"/>
        <w:rPr>
          <w:sz w:val="23"/>
          <w:szCs w:val="23"/>
        </w:rPr>
      </w:pPr>
    </w:p>
    <w:p w14:paraId="7BF8FA78" w14:textId="77777777" w:rsidR="00D07561" w:rsidRDefault="00D07561" w:rsidP="00D07561">
      <w:pPr>
        <w:pStyle w:val="Default"/>
        <w:rPr>
          <w:sz w:val="23"/>
          <w:szCs w:val="23"/>
        </w:rPr>
      </w:pPr>
    </w:p>
    <w:p w14:paraId="19ADC69B" w14:textId="412C8416" w:rsidR="00D07561" w:rsidRDefault="00D07561" w:rsidP="00D07561">
      <w:pPr>
        <w:pStyle w:val="Default"/>
        <w:rPr>
          <w:color w:val="auto"/>
        </w:rPr>
      </w:pPr>
    </w:p>
    <w:sectPr w:rsidR="00D075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586B"/>
    <w:multiLevelType w:val="hybridMultilevel"/>
    <w:tmpl w:val="101A071C"/>
    <w:lvl w:ilvl="0" w:tplc="CB1EDB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A7138"/>
    <w:multiLevelType w:val="hybridMultilevel"/>
    <w:tmpl w:val="D400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B67E1"/>
    <w:multiLevelType w:val="hybridMultilevel"/>
    <w:tmpl w:val="5360E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72060"/>
    <w:multiLevelType w:val="hybridMultilevel"/>
    <w:tmpl w:val="5002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434D05"/>
    <w:multiLevelType w:val="hybridMultilevel"/>
    <w:tmpl w:val="A00098F0"/>
    <w:lvl w:ilvl="0" w:tplc="A89E3C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0A3A15"/>
    <w:multiLevelType w:val="hybridMultilevel"/>
    <w:tmpl w:val="FAE8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3389361">
    <w:abstractNumId w:val="5"/>
  </w:num>
  <w:num w:numId="2" w16cid:durableId="1418090520">
    <w:abstractNumId w:val="4"/>
  </w:num>
  <w:num w:numId="3" w16cid:durableId="1346978736">
    <w:abstractNumId w:val="3"/>
  </w:num>
  <w:num w:numId="4" w16cid:durableId="1685325138">
    <w:abstractNumId w:val="1"/>
  </w:num>
  <w:num w:numId="5" w16cid:durableId="1319503625">
    <w:abstractNumId w:val="0"/>
  </w:num>
  <w:num w:numId="6" w16cid:durableId="1061446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61"/>
    <w:rsid w:val="000B212E"/>
    <w:rsid w:val="00121574"/>
    <w:rsid w:val="001824D6"/>
    <w:rsid w:val="00195EA7"/>
    <w:rsid w:val="001F6E1C"/>
    <w:rsid w:val="00253808"/>
    <w:rsid w:val="002710D1"/>
    <w:rsid w:val="002C306D"/>
    <w:rsid w:val="003B33BE"/>
    <w:rsid w:val="003C6899"/>
    <w:rsid w:val="0043798C"/>
    <w:rsid w:val="004445DA"/>
    <w:rsid w:val="00452DCF"/>
    <w:rsid w:val="004951B0"/>
    <w:rsid w:val="0052508D"/>
    <w:rsid w:val="00561F4B"/>
    <w:rsid w:val="00595DE8"/>
    <w:rsid w:val="005B75F8"/>
    <w:rsid w:val="005F13DC"/>
    <w:rsid w:val="0066625A"/>
    <w:rsid w:val="006A005E"/>
    <w:rsid w:val="006F250E"/>
    <w:rsid w:val="007B4799"/>
    <w:rsid w:val="008422B7"/>
    <w:rsid w:val="00971733"/>
    <w:rsid w:val="00A254C7"/>
    <w:rsid w:val="00A61004"/>
    <w:rsid w:val="00A709AC"/>
    <w:rsid w:val="00A803DA"/>
    <w:rsid w:val="00A9072A"/>
    <w:rsid w:val="00AF60A7"/>
    <w:rsid w:val="00BE5166"/>
    <w:rsid w:val="00BE51F7"/>
    <w:rsid w:val="00C21C92"/>
    <w:rsid w:val="00C44457"/>
    <w:rsid w:val="00D07561"/>
    <w:rsid w:val="00D52561"/>
    <w:rsid w:val="00D65E52"/>
    <w:rsid w:val="00D7253E"/>
    <w:rsid w:val="00DC7A40"/>
    <w:rsid w:val="00E70A47"/>
    <w:rsid w:val="00EE0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FC2D"/>
  <w15:chartTrackingRefBased/>
  <w15:docId w15:val="{7A1F24E3-A162-4C7F-BB41-5FC73677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56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B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2B7"/>
    <w:rPr>
      <w:color w:val="0563C1" w:themeColor="hyperlink"/>
      <w:u w:val="single"/>
    </w:rPr>
  </w:style>
  <w:style w:type="paragraph" w:styleId="ListParagraph">
    <w:name w:val="List Paragraph"/>
    <w:basedOn w:val="Normal"/>
    <w:uiPriority w:val="34"/>
    <w:qFormat/>
    <w:rsid w:val="002710D1"/>
    <w:pPr>
      <w:ind w:left="720"/>
      <w:contextualSpacing/>
    </w:pPr>
  </w:style>
  <w:style w:type="character" w:styleId="CommentReference">
    <w:name w:val="annotation reference"/>
    <w:basedOn w:val="DefaultParagraphFont"/>
    <w:uiPriority w:val="99"/>
    <w:semiHidden/>
    <w:unhideWhenUsed/>
    <w:rsid w:val="00A61004"/>
    <w:rPr>
      <w:sz w:val="16"/>
      <w:szCs w:val="16"/>
    </w:rPr>
  </w:style>
  <w:style w:type="paragraph" w:styleId="CommentText">
    <w:name w:val="annotation text"/>
    <w:basedOn w:val="Normal"/>
    <w:link w:val="CommentTextChar"/>
    <w:uiPriority w:val="99"/>
    <w:unhideWhenUsed/>
    <w:rsid w:val="00A61004"/>
    <w:pPr>
      <w:spacing w:line="240" w:lineRule="auto"/>
    </w:pPr>
    <w:rPr>
      <w:sz w:val="20"/>
      <w:szCs w:val="20"/>
    </w:rPr>
  </w:style>
  <w:style w:type="character" w:customStyle="1" w:styleId="CommentTextChar">
    <w:name w:val="Comment Text Char"/>
    <w:basedOn w:val="DefaultParagraphFont"/>
    <w:link w:val="CommentText"/>
    <w:uiPriority w:val="99"/>
    <w:rsid w:val="00A61004"/>
    <w:rPr>
      <w:sz w:val="20"/>
      <w:szCs w:val="20"/>
    </w:rPr>
  </w:style>
  <w:style w:type="paragraph" w:styleId="CommentSubject">
    <w:name w:val="annotation subject"/>
    <w:basedOn w:val="CommentText"/>
    <w:next w:val="CommentText"/>
    <w:link w:val="CommentSubjectChar"/>
    <w:uiPriority w:val="99"/>
    <w:semiHidden/>
    <w:unhideWhenUsed/>
    <w:rsid w:val="00A61004"/>
    <w:rPr>
      <w:b/>
      <w:bCs/>
    </w:rPr>
  </w:style>
  <w:style w:type="character" w:customStyle="1" w:styleId="CommentSubjectChar">
    <w:name w:val="Comment Subject Char"/>
    <w:basedOn w:val="CommentTextChar"/>
    <w:link w:val="CommentSubject"/>
    <w:uiPriority w:val="99"/>
    <w:semiHidden/>
    <w:rsid w:val="00A61004"/>
    <w:rPr>
      <w:b/>
      <w:bCs/>
      <w:sz w:val="20"/>
      <w:szCs w:val="20"/>
    </w:rPr>
  </w:style>
  <w:style w:type="paragraph" w:styleId="BalloonText">
    <w:name w:val="Balloon Text"/>
    <w:basedOn w:val="Normal"/>
    <w:link w:val="BalloonTextChar"/>
    <w:uiPriority w:val="99"/>
    <w:semiHidden/>
    <w:unhideWhenUsed/>
    <w:rsid w:val="00A61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A77157B27E144888AC6635D6C8F2ED" ma:contentTypeVersion="3" ma:contentTypeDescription="Create a new document." ma:contentTypeScope="" ma:versionID="ebc1f65a2c223ab52ab75b9e53e74032">
  <xsd:schema xmlns:xsd="http://www.w3.org/2001/XMLSchema" xmlns:xs="http://www.w3.org/2001/XMLSchema" xmlns:p="http://schemas.microsoft.com/office/2006/metadata/properties" xmlns:ns2="dc518155-caa5-4fd3-81c2-e0ead741487a" targetNamespace="http://schemas.microsoft.com/office/2006/metadata/properties" ma:root="true" ma:fieldsID="71bcfe3fdfe0ab07c1ca5aa697b84b03" ns2:_="">
    <xsd:import namespace="dc518155-caa5-4fd3-81c2-e0ead74148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18155-caa5-4fd3-81c2-e0ead7414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A054C-25B2-4A21-B4B7-6253B01C9559}">
  <ds:schemaRefs>
    <ds:schemaRef ds:uri="http://schemas.openxmlformats.org/officeDocument/2006/bibliography"/>
  </ds:schemaRefs>
</ds:datastoreItem>
</file>

<file path=customXml/itemProps2.xml><?xml version="1.0" encoding="utf-8"?>
<ds:datastoreItem xmlns:ds="http://schemas.openxmlformats.org/officeDocument/2006/customXml" ds:itemID="{5276ADEF-272E-4A72-A926-335C9355F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18155-caa5-4fd3-81c2-e0ead741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DE971-E90D-41F0-B069-4372D37B00CE}">
  <ds:schemaRefs>
    <ds:schemaRef ds:uri="http://schemas.microsoft.com/sharepoint/v3/contenttype/forms"/>
  </ds:schemaRefs>
</ds:datastoreItem>
</file>

<file path=customXml/itemProps4.xml><?xml version="1.0" encoding="utf-8"?>
<ds:datastoreItem xmlns:ds="http://schemas.openxmlformats.org/officeDocument/2006/customXml" ds:itemID="{B78AFBE7-4F49-462A-AF50-3B6BC7A1B4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Hooper</dc:creator>
  <cp:keywords/>
  <dc:description/>
  <cp:lastModifiedBy>Allison Sherwood</cp:lastModifiedBy>
  <cp:revision>9</cp:revision>
  <dcterms:created xsi:type="dcterms:W3CDTF">2025-06-09T09:35:00Z</dcterms:created>
  <dcterms:modified xsi:type="dcterms:W3CDTF">2026-05-08T11:13:00Z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0x010100CDA77157B27E144888AC6635D6C8F2ED</vt:lpwstr>
  </property>
  <property fmtid="{D5CDD505-2E9C-101B-9397-08002B2CF9AE}" pid="3" name="Order">
    <vt:r8>29500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