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F41C" w14:textId="77777777" w:rsidR="00F47B6A" w:rsidRDefault="00F47B6A"/>
    <w:tbl>
      <w:tblPr>
        <w:tblW w:w="5000" w:type="pct"/>
        <w:tblCellSpacing w:w="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7"/>
        <w:gridCol w:w="4559"/>
      </w:tblGrid>
      <w:tr w:rsidR="006740B7" w:rsidRPr="00C3453B" w14:paraId="0CCFA00B" w14:textId="77777777" w:rsidTr="7C2DA44B">
        <w:trPr>
          <w:tblCellSpacing w:w="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4244C" w14:textId="77777777" w:rsidR="006740B7" w:rsidRPr="00C3453B" w:rsidRDefault="006740B7" w:rsidP="0092682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453B">
              <w:rPr>
                <w:noProof/>
                <w:color w:val="000000"/>
              </w:rPr>
              <w:drawing>
                <wp:inline distT="0" distB="0" distL="0" distR="0" wp14:anchorId="143B81F1" wp14:editId="49F4BA04">
                  <wp:extent cx="2889250" cy="980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AE051" w14:textId="77777777" w:rsidR="00B778BA" w:rsidRPr="00C3453B" w:rsidRDefault="75CB1665" w:rsidP="7C2DA44B">
            <w:pP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7C2DA44B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Victoria Latham</w:t>
            </w:r>
          </w:p>
          <w:p w14:paraId="1740C251" w14:textId="27900E32" w:rsidR="006740B7" w:rsidRPr="00C3453B" w:rsidRDefault="75CB1665" w:rsidP="7C2DA44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C2DA44B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Deputy Director, </w:t>
            </w:r>
            <w:r w:rsidR="7C31ACC9" w:rsidRPr="7C2DA44B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Council Housing</w:t>
            </w:r>
          </w:p>
          <w:p w14:paraId="6FA8EDB1" w14:textId="286AFA5E" w:rsidR="006740B7" w:rsidRPr="00C3453B" w:rsidRDefault="006740B7" w:rsidP="0092682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C2DA44B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Department for Levelling Up, Housing and Communities</w:t>
            </w:r>
          </w:p>
          <w:p w14:paraId="3EB3A50C" w14:textId="77777777" w:rsidR="006740B7" w:rsidRPr="00C3453B" w:rsidRDefault="006740B7" w:rsidP="0092682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45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Fry Building </w:t>
            </w:r>
            <w:r w:rsidRPr="00C3453B">
              <w:rPr>
                <w:rFonts w:ascii="Arial" w:eastAsia="Arial" w:hAnsi="Arial" w:cs="Arial"/>
                <w:color w:val="000000"/>
                <w:sz w:val="24"/>
                <w:szCs w:val="20"/>
              </w:rPr>
              <w:br/>
            </w:r>
            <w:r w:rsidRPr="00C345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 Marsham Street </w:t>
            </w:r>
            <w:r w:rsidRPr="00C3453B">
              <w:rPr>
                <w:rFonts w:ascii="Arial" w:eastAsia="Arial" w:hAnsi="Arial" w:cs="Arial"/>
                <w:color w:val="000000"/>
                <w:sz w:val="24"/>
                <w:szCs w:val="20"/>
              </w:rPr>
              <w:br/>
            </w:r>
            <w:r w:rsidRPr="00C345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London </w:t>
            </w:r>
            <w:r w:rsidRPr="00C3453B">
              <w:rPr>
                <w:rFonts w:ascii="Arial" w:eastAsia="Arial" w:hAnsi="Arial" w:cs="Arial"/>
                <w:color w:val="000000"/>
                <w:sz w:val="24"/>
                <w:szCs w:val="20"/>
              </w:rPr>
              <w:br/>
            </w:r>
            <w:r w:rsidRPr="00C3453B">
              <w:rPr>
                <w:rFonts w:ascii="Arial" w:eastAsia="Arial" w:hAnsi="Arial" w:cs="Arial"/>
                <w:color w:val="000000"/>
                <w:sz w:val="20"/>
                <w:szCs w:val="20"/>
              </w:rPr>
              <w:t>SW1P 4DF</w:t>
            </w:r>
          </w:p>
        </w:tc>
      </w:tr>
    </w:tbl>
    <w:p w14:paraId="736CCC73" w14:textId="3CAF842A" w:rsidR="00847315" w:rsidRPr="00C3453B" w:rsidRDefault="00847315" w:rsidP="006740B7"/>
    <w:p w14:paraId="6478BCE8" w14:textId="77777777" w:rsidR="006740B7" w:rsidRPr="00C3453B" w:rsidRDefault="006740B7" w:rsidP="7C2DA44B">
      <w:pPr>
        <w:jc w:val="right"/>
        <w:rPr>
          <w:rFonts w:ascii="Arial" w:hAnsi="Arial" w:cs="Arial"/>
          <w:sz w:val="24"/>
          <w:szCs w:val="24"/>
        </w:rPr>
      </w:pPr>
      <w:r w:rsidRPr="7C2DA44B">
        <w:rPr>
          <w:rFonts w:asciiTheme="minorHAnsi" w:eastAsiaTheme="minorEastAsia" w:hAnsiTheme="minorHAnsi" w:cstheme="minorBidi"/>
          <w:sz w:val="24"/>
          <w:szCs w:val="24"/>
        </w:rPr>
        <w:t>RTB@levellingup.gov.uk</w:t>
      </w:r>
    </w:p>
    <w:p w14:paraId="5777ACC7" w14:textId="4DB16D41" w:rsidR="006740B7" w:rsidRPr="00C3453B" w:rsidRDefault="006740B7" w:rsidP="65A56277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7C2DA44B">
        <w:rPr>
          <w:rFonts w:ascii="Arial" w:eastAsia="Arial" w:hAnsi="Arial" w:cs="Arial"/>
          <w:sz w:val="20"/>
          <w:szCs w:val="20"/>
        </w:rPr>
        <w:t xml:space="preserve">Date: </w:t>
      </w:r>
      <w:r w:rsidR="2614FD4B" w:rsidRPr="7C2DA44B">
        <w:rPr>
          <w:rFonts w:ascii="Arial" w:eastAsia="Arial" w:hAnsi="Arial" w:cs="Arial"/>
          <w:sz w:val="20"/>
          <w:szCs w:val="20"/>
        </w:rPr>
        <w:t xml:space="preserve"> </w:t>
      </w:r>
      <w:r w:rsidR="006A4C27">
        <w:rPr>
          <w:rFonts w:ascii="Arial" w:eastAsia="Arial" w:hAnsi="Arial" w:cs="Arial"/>
          <w:sz w:val="20"/>
          <w:szCs w:val="20"/>
        </w:rPr>
        <w:t>02/02/2024</w:t>
      </w:r>
    </w:p>
    <w:p w14:paraId="07C0E803" w14:textId="5B98628E" w:rsidR="009E2903" w:rsidRPr="00C3453B" w:rsidRDefault="009E2903" w:rsidP="009E2903">
      <w:pPr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3453B">
        <w:rPr>
          <w:rFonts w:ascii="Arial" w:hAnsi="Arial" w:cs="Arial"/>
          <w:b/>
          <w:bCs/>
          <w:sz w:val="24"/>
          <w:szCs w:val="24"/>
        </w:rPr>
        <w:t xml:space="preserve">Chief Finance Officers of </w:t>
      </w:r>
      <w:r w:rsidR="5BFB4B66" w:rsidRPr="00C3453B">
        <w:rPr>
          <w:rFonts w:ascii="Arial" w:hAnsi="Arial" w:cs="Arial"/>
          <w:b/>
          <w:bCs/>
          <w:sz w:val="24"/>
          <w:szCs w:val="24"/>
        </w:rPr>
        <w:t xml:space="preserve">all stock holding </w:t>
      </w:r>
      <w:r w:rsidRPr="00C3453B">
        <w:rPr>
          <w:rFonts w:ascii="Arial" w:hAnsi="Arial" w:cs="Arial"/>
          <w:b/>
          <w:bCs/>
          <w:sz w:val="24"/>
          <w:szCs w:val="24"/>
        </w:rPr>
        <w:t xml:space="preserve">local authorities in </w:t>
      </w:r>
      <w:proofErr w:type="gramStart"/>
      <w:r w:rsidRPr="00C3453B">
        <w:rPr>
          <w:rFonts w:ascii="Arial" w:hAnsi="Arial" w:cs="Arial"/>
          <w:b/>
          <w:bCs/>
          <w:sz w:val="24"/>
          <w:szCs w:val="24"/>
        </w:rPr>
        <w:t>England</w:t>
      </w:r>
      <w:proofErr w:type="gramEnd"/>
      <w:r w:rsidRPr="00C3453B">
        <w:rPr>
          <w:rFonts w:ascii="Arial" w:hAnsi="Arial" w:cs="Arial"/>
          <w:b/>
          <w:bCs/>
          <w:sz w:val="24"/>
          <w:szCs w:val="24"/>
        </w:rPr>
        <w:t> </w:t>
      </w:r>
    </w:p>
    <w:p w14:paraId="0E917503" w14:textId="77777777" w:rsidR="009E2903" w:rsidRPr="00C3453B" w:rsidRDefault="009E2903" w:rsidP="009E2903">
      <w:pPr>
        <w:textAlignment w:val="baseline"/>
        <w:rPr>
          <w:rFonts w:ascii="Arial" w:hAnsi="Arial" w:cs="Arial"/>
          <w:b/>
          <w:bCs/>
          <w:sz w:val="24"/>
          <w:szCs w:val="24"/>
        </w:rPr>
      </w:pPr>
      <w:r w:rsidRPr="7C2DA44B">
        <w:rPr>
          <w:rFonts w:ascii="Arial" w:hAnsi="Arial" w:cs="Arial"/>
          <w:b/>
          <w:bCs/>
          <w:sz w:val="24"/>
          <w:szCs w:val="24"/>
        </w:rPr>
        <w:t> </w:t>
      </w:r>
    </w:p>
    <w:p w14:paraId="7819F434" w14:textId="40E57A8E" w:rsidR="7C2DA44B" w:rsidRDefault="7C2DA44B" w:rsidP="7C2DA44B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962F0A" w14:textId="0E853C7D" w:rsidR="006740B7" w:rsidRPr="00C3453B" w:rsidRDefault="5110DA47" w:rsidP="006740B7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7C2DA44B">
        <w:rPr>
          <w:rFonts w:ascii="Arial" w:hAnsi="Arial" w:cs="Arial"/>
          <w:b/>
          <w:bCs/>
          <w:sz w:val="24"/>
          <w:szCs w:val="24"/>
        </w:rPr>
        <w:t xml:space="preserve">Annual increase in </w:t>
      </w:r>
      <w:r w:rsidR="006740B7" w:rsidRPr="7C2DA44B">
        <w:rPr>
          <w:rFonts w:ascii="Arial" w:hAnsi="Arial" w:cs="Arial"/>
          <w:b/>
          <w:bCs/>
          <w:sz w:val="24"/>
          <w:szCs w:val="24"/>
        </w:rPr>
        <w:t>Right to Buy</w:t>
      </w:r>
      <w:r w:rsidR="0A352AA4" w:rsidRPr="7C2DA4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A352AA4" w:rsidRPr="7C2DA44B">
        <w:rPr>
          <w:rFonts w:ascii="Arial" w:hAnsi="Arial" w:cs="Arial"/>
          <w:b/>
          <w:bCs/>
          <w:sz w:val="24"/>
          <w:szCs w:val="24"/>
        </w:rPr>
        <w:t>discounts</w:t>
      </w:r>
      <w:proofErr w:type="gramEnd"/>
    </w:p>
    <w:p w14:paraId="4E7E26B5" w14:textId="4F0F6C12" w:rsidR="006740B7" w:rsidRDefault="006740B7" w:rsidP="7C2DA44B">
      <w:pPr>
        <w:jc w:val="both"/>
        <w:rPr>
          <w:rFonts w:ascii="Arial" w:hAnsi="Arial" w:cs="Arial"/>
          <w:sz w:val="24"/>
          <w:szCs w:val="24"/>
        </w:rPr>
      </w:pPr>
      <w:r w:rsidRPr="7C2DA44B">
        <w:rPr>
          <w:rFonts w:ascii="Arial" w:hAnsi="Arial" w:cs="Arial"/>
          <w:sz w:val="24"/>
          <w:szCs w:val="24"/>
        </w:rPr>
        <w:t xml:space="preserve">This letter provides the updated figures for </w:t>
      </w:r>
      <w:r w:rsidRPr="7C2DA44B">
        <w:rPr>
          <w:rFonts w:ascii="Arial" w:eastAsia="Arial" w:hAnsi="Arial" w:cs="Arial"/>
          <w:sz w:val="24"/>
          <w:szCs w:val="24"/>
        </w:rPr>
        <w:t>maximum</w:t>
      </w:r>
      <w:r w:rsidRPr="7C2DA44B">
        <w:rPr>
          <w:rFonts w:ascii="Arial" w:hAnsi="Arial" w:cs="Arial"/>
          <w:sz w:val="24"/>
          <w:szCs w:val="24"/>
        </w:rPr>
        <w:t xml:space="preserve"> Right to Buy discounts from</w:t>
      </w:r>
      <w:r w:rsidR="131D7BD7" w:rsidRPr="7C2DA44B">
        <w:rPr>
          <w:rFonts w:ascii="Arial" w:hAnsi="Arial" w:cs="Arial"/>
          <w:sz w:val="24"/>
          <w:szCs w:val="24"/>
        </w:rPr>
        <w:t xml:space="preserve"> </w:t>
      </w:r>
      <w:r w:rsidRPr="7C2DA44B">
        <w:rPr>
          <w:rFonts w:ascii="Arial" w:hAnsi="Arial" w:cs="Arial"/>
          <w:sz w:val="24"/>
          <w:szCs w:val="24"/>
        </w:rPr>
        <w:t>April 202</w:t>
      </w:r>
      <w:r w:rsidR="759D3E78" w:rsidRPr="7C2DA44B">
        <w:rPr>
          <w:rFonts w:ascii="Arial" w:hAnsi="Arial" w:cs="Arial"/>
          <w:sz w:val="24"/>
          <w:szCs w:val="24"/>
        </w:rPr>
        <w:t>4</w:t>
      </w:r>
      <w:r w:rsidRPr="7C2DA44B">
        <w:rPr>
          <w:rFonts w:ascii="Arial" w:hAnsi="Arial" w:cs="Arial"/>
          <w:sz w:val="24"/>
          <w:szCs w:val="24"/>
        </w:rPr>
        <w:t xml:space="preserve"> (in line with the Consumer Prices </w:t>
      </w:r>
      <w:r w:rsidRPr="7C2DA44B">
        <w:rPr>
          <w:rFonts w:ascii="Arial" w:eastAsia="Arial" w:hAnsi="Arial" w:cs="Arial"/>
          <w:sz w:val="24"/>
          <w:szCs w:val="24"/>
        </w:rPr>
        <w:t>Index</w:t>
      </w:r>
      <w:r w:rsidRPr="7C2DA44B">
        <w:rPr>
          <w:rFonts w:ascii="Arial" w:hAnsi="Arial" w:cs="Arial"/>
          <w:sz w:val="24"/>
          <w:szCs w:val="24"/>
        </w:rPr>
        <w:t xml:space="preserve">) and outlines the duties of </w:t>
      </w:r>
      <w:r w:rsidRPr="7C2DA44B">
        <w:rPr>
          <w:rFonts w:ascii="Arial" w:eastAsia="Arial" w:hAnsi="Arial" w:cs="Arial"/>
          <w:sz w:val="24"/>
          <w:szCs w:val="24"/>
        </w:rPr>
        <w:t xml:space="preserve">Right to Buy </w:t>
      </w:r>
      <w:r w:rsidRPr="7C2DA44B">
        <w:rPr>
          <w:rFonts w:ascii="Arial" w:hAnsi="Arial" w:cs="Arial"/>
          <w:sz w:val="24"/>
          <w:szCs w:val="24"/>
        </w:rPr>
        <w:t>landlords towards their tenants</w:t>
      </w:r>
      <w:r w:rsidR="00B80FDC" w:rsidRPr="7C2DA44B">
        <w:rPr>
          <w:rFonts w:ascii="Arial" w:hAnsi="Arial" w:cs="Arial"/>
          <w:sz w:val="24"/>
          <w:szCs w:val="24"/>
        </w:rPr>
        <w:t>.</w:t>
      </w:r>
    </w:p>
    <w:p w14:paraId="1A657790" w14:textId="68C72D11" w:rsidR="7C2DA44B" w:rsidRDefault="7C2DA44B" w:rsidP="7C2DA44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B634CD" w14:textId="32BDD87D" w:rsidR="006740B7" w:rsidRPr="000456AF" w:rsidRDefault="006740B7" w:rsidP="006740B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3453B">
        <w:rPr>
          <w:rFonts w:ascii="Arial" w:hAnsi="Arial" w:cs="Arial"/>
          <w:b/>
          <w:bCs/>
          <w:sz w:val="24"/>
          <w:szCs w:val="24"/>
          <w:u w:val="single"/>
        </w:rPr>
        <w:t>Discounts</w:t>
      </w:r>
    </w:p>
    <w:p w14:paraId="297CC5D2" w14:textId="77777777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</w:p>
    <w:p w14:paraId="57148140" w14:textId="30077769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  <w:r w:rsidRPr="000456AF">
        <w:rPr>
          <w:rFonts w:ascii="Arial" w:hAnsi="Arial" w:cs="Arial"/>
          <w:sz w:val="24"/>
          <w:szCs w:val="24"/>
        </w:rPr>
        <w:t xml:space="preserve">The </w:t>
      </w:r>
      <w:r w:rsidRPr="000456AF">
        <w:rPr>
          <w:rFonts w:ascii="Arial" w:hAnsi="Arial" w:cs="Arial"/>
          <w:i/>
          <w:iCs/>
          <w:sz w:val="24"/>
          <w:szCs w:val="24"/>
        </w:rPr>
        <w:t xml:space="preserve">Housing (Right to Buy) (Limit on Discount) (England) Order 2014 (the Order) </w:t>
      </w:r>
      <w:r w:rsidRPr="000456AF">
        <w:rPr>
          <w:rFonts w:ascii="Arial" w:hAnsi="Arial" w:cs="Arial"/>
          <w:sz w:val="24"/>
          <w:szCs w:val="24"/>
        </w:rPr>
        <w:t xml:space="preserve">provides for an annual change to the maximum Right to Buy discounts. This change is calculated in line with the percentage </w:t>
      </w:r>
      <w:r w:rsidRPr="000456AF">
        <w:rPr>
          <w:rFonts w:ascii="Arial" w:eastAsia="Arial" w:hAnsi="Arial" w:cs="Arial"/>
          <w:sz w:val="24"/>
          <w:szCs w:val="24"/>
        </w:rPr>
        <w:t>change</w:t>
      </w:r>
      <w:r w:rsidRPr="000456AF">
        <w:rPr>
          <w:rFonts w:ascii="Arial" w:hAnsi="Arial" w:cs="Arial"/>
          <w:sz w:val="24"/>
          <w:szCs w:val="24"/>
        </w:rPr>
        <w:t xml:space="preserve"> in the Consumer Prices Index (CPI) published by the Office of National Statistics (ONS) from the September before the previous year to the September of the previous year. </w:t>
      </w:r>
      <w:r w:rsidRPr="000456AF">
        <w:rPr>
          <w:rFonts w:ascii="Arial" w:hAnsi="Arial" w:cs="Arial"/>
          <w:b/>
          <w:bCs/>
          <w:sz w:val="24"/>
          <w:szCs w:val="24"/>
        </w:rPr>
        <w:t>This increase takes effect on 6 April each year</w:t>
      </w:r>
      <w:r w:rsidRPr="000456AF">
        <w:rPr>
          <w:rFonts w:ascii="Arial" w:hAnsi="Arial" w:cs="Arial"/>
          <w:sz w:val="24"/>
          <w:szCs w:val="24"/>
        </w:rPr>
        <w:t xml:space="preserve">. </w:t>
      </w:r>
    </w:p>
    <w:p w14:paraId="386CEAD3" w14:textId="77777777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</w:p>
    <w:p w14:paraId="7A20951B" w14:textId="263AA73E" w:rsidR="006740B7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  <w:r w:rsidRPr="000456AF">
        <w:rPr>
          <w:rFonts w:ascii="Arial" w:hAnsi="Arial" w:cs="Arial"/>
          <w:sz w:val="24"/>
          <w:szCs w:val="24"/>
        </w:rPr>
        <w:t xml:space="preserve">The Department indicated it would inform Right to Buy landlords in January each year of the new maximum Right to Buy discounts for </w:t>
      </w:r>
      <w:r w:rsidRPr="000456AF">
        <w:rPr>
          <w:rFonts w:ascii="Arial" w:eastAsia="Arial" w:hAnsi="Arial" w:cs="Arial"/>
          <w:sz w:val="24"/>
          <w:szCs w:val="24"/>
        </w:rPr>
        <w:t>the</w:t>
      </w:r>
      <w:r w:rsidRPr="000456AF">
        <w:rPr>
          <w:rFonts w:ascii="Arial" w:hAnsi="Arial" w:cs="Arial"/>
          <w:sz w:val="24"/>
          <w:szCs w:val="24"/>
        </w:rPr>
        <w:t xml:space="preserve"> following financial year, based on the relevant September CPI figure. In respect of the financial year 202</w:t>
      </w:r>
      <w:r w:rsidR="7B149BBE" w:rsidRPr="000456AF">
        <w:rPr>
          <w:rFonts w:ascii="Arial" w:hAnsi="Arial" w:cs="Arial"/>
          <w:sz w:val="24"/>
          <w:szCs w:val="24"/>
        </w:rPr>
        <w:t>3</w:t>
      </w:r>
      <w:r w:rsidRPr="000456AF">
        <w:rPr>
          <w:rFonts w:ascii="Arial" w:hAnsi="Arial" w:cs="Arial"/>
          <w:sz w:val="24"/>
          <w:szCs w:val="24"/>
        </w:rPr>
        <w:t>/2</w:t>
      </w:r>
      <w:r w:rsidR="4776C5D1" w:rsidRPr="000456AF">
        <w:rPr>
          <w:rFonts w:ascii="Arial" w:hAnsi="Arial" w:cs="Arial"/>
          <w:sz w:val="24"/>
          <w:szCs w:val="24"/>
        </w:rPr>
        <w:t>4</w:t>
      </w:r>
      <w:r w:rsidRPr="000456AF">
        <w:rPr>
          <w:rFonts w:ascii="Arial" w:hAnsi="Arial" w:cs="Arial"/>
          <w:sz w:val="24"/>
          <w:szCs w:val="24"/>
        </w:rPr>
        <w:t xml:space="preserve">, the relevant </w:t>
      </w:r>
      <w:r w:rsidRPr="000456AF">
        <w:rPr>
          <w:rFonts w:ascii="Arial" w:hAnsi="Arial" w:cs="Arial"/>
          <w:b/>
          <w:bCs/>
          <w:sz w:val="24"/>
          <w:szCs w:val="24"/>
        </w:rPr>
        <w:t>September 202</w:t>
      </w:r>
      <w:r w:rsidR="1BEFE1FC" w:rsidRPr="000456AF">
        <w:rPr>
          <w:rFonts w:ascii="Arial" w:hAnsi="Arial" w:cs="Arial"/>
          <w:b/>
          <w:bCs/>
          <w:sz w:val="24"/>
          <w:szCs w:val="24"/>
        </w:rPr>
        <w:t>3</w:t>
      </w:r>
      <w:r w:rsidRPr="000456AF">
        <w:rPr>
          <w:rFonts w:ascii="Arial" w:hAnsi="Arial" w:cs="Arial"/>
          <w:b/>
          <w:bCs/>
          <w:sz w:val="24"/>
          <w:szCs w:val="24"/>
        </w:rPr>
        <w:t xml:space="preserve"> CPI figure is </w:t>
      </w:r>
      <w:r w:rsidR="33664CF5" w:rsidRPr="000456AF">
        <w:rPr>
          <w:rFonts w:ascii="Arial" w:hAnsi="Arial" w:cs="Arial"/>
          <w:b/>
          <w:bCs/>
          <w:sz w:val="24"/>
          <w:szCs w:val="24"/>
        </w:rPr>
        <w:t>6.7</w:t>
      </w:r>
      <w:r w:rsidRPr="000456AF">
        <w:rPr>
          <w:rFonts w:ascii="Arial" w:hAnsi="Arial" w:cs="Arial"/>
          <w:b/>
          <w:bCs/>
          <w:sz w:val="24"/>
          <w:szCs w:val="24"/>
        </w:rPr>
        <w:t xml:space="preserve"> per cent</w:t>
      </w:r>
      <w:r w:rsidRPr="000456AF">
        <w:rPr>
          <w:rFonts w:ascii="Arial" w:hAnsi="Arial" w:cs="Arial"/>
          <w:sz w:val="24"/>
          <w:szCs w:val="24"/>
        </w:rPr>
        <w:t xml:space="preserve"> and the new maximum </w:t>
      </w:r>
      <w:r w:rsidRPr="000456AF">
        <w:rPr>
          <w:rFonts w:ascii="Arial" w:eastAsia="Arial" w:hAnsi="Arial" w:cs="Arial"/>
          <w:sz w:val="24"/>
          <w:szCs w:val="24"/>
        </w:rPr>
        <w:t xml:space="preserve">discounts will be: </w:t>
      </w:r>
    </w:p>
    <w:p w14:paraId="12945553" w14:textId="77777777" w:rsidR="006740B7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</w:p>
    <w:p w14:paraId="318293BE" w14:textId="70DB349D" w:rsidR="006740B7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London: £1</w:t>
      </w:r>
      <w:r w:rsidR="5E7780F2" w:rsidRPr="000456AF">
        <w:rPr>
          <w:rFonts w:ascii="Arial" w:eastAsia="Arial" w:hAnsi="Arial" w:cs="Arial"/>
          <w:sz w:val="24"/>
          <w:szCs w:val="24"/>
        </w:rPr>
        <w:t>3</w:t>
      </w:r>
      <w:r w:rsidR="16C4C039" w:rsidRPr="000456AF">
        <w:rPr>
          <w:rFonts w:ascii="Arial" w:eastAsia="Arial" w:hAnsi="Arial" w:cs="Arial"/>
          <w:sz w:val="24"/>
          <w:szCs w:val="24"/>
        </w:rPr>
        <w:t>6</w:t>
      </w:r>
      <w:r w:rsidR="5E7780F2" w:rsidRPr="000456AF">
        <w:rPr>
          <w:rFonts w:ascii="Arial" w:eastAsia="Arial" w:hAnsi="Arial" w:cs="Arial"/>
          <w:sz w:val="24"/>
          <w:szCs w:val="24"/>
        </w:rPr>
        <w:t>,</w:t>
      </w:r>
      <w:r w:rsidR="7654B801" w:rsidRPr="000456AF">
        <w:rPr>
          <w:rFonts w:ascii="Arial" w:eastAsia="Arial" w:hAnsi="Arial" w:cs="Arial"/>
          <w:sz w:val="24"/>
          <w:szCs w:val="24"/>
        </w:rPr>
        <w:t>4</w:t>
      </w:r>
      <w:r w:rsidR="5E7780F2" w:rsidRPr="000456AF">
        <w:rPr>
          <w:rFonts w:ascii="Arial" w:eastAsia="Arial" w:hAnsi="Arial" w:cs="Arial"/>
          <w:sz w:val="24"/>
          <w:szCs w:val="24"/>
        </w:rPr>
        <w:t>00</w:t>
      </w:r>
    </w:p>
    <w:p w14:paraId="2B77C8C5" w14:textId="25E32738" w:rsidR="006740B7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Outside London: £</w:t>
      </w:r>
      <w:r w:rsidR="336633A8" w:rsidRPr="000456AF">
        <w:rPr>
          <w:rFonts w:ascii="Arial" w:eastAsia="Arial" w:hAnsi="Arial" w:cs="Arial"/>
          <w:sz w:val="24"/>
          <w:szCs w:val="24"/>
        </w:rPr>
        <w:t>102,400</w:t>
      </w:r>
    </w:p>
    <w:p w14:paraId="0A333575" w14:textId="77777777" w:rsidR="006740B7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</w:p>
    <w:p w14:paraId="2D5DE9E3" w14:textId="0AD48CA1" w:rsidR="006740B7" w:rsidRPr="000456AF" w:rsidRDefault="006740B7" w:rsidP="006740B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56AF">
        <w:rPr>
          <w:rFonts w:ascii="Arial" w:eastAsia="Arial" w:hAnsi="Arial" w:cs="Arial"/>
          <w:sz w:val="24"/>
          <w:szCs w:val="24"/>
        </w:rPr>
        <w:t>These discounts will apply to</w:t>
      </w:r>
      <w:r w:rsidRPr="000456AF">
        <w:rPr>
          <w:rFonts w:ascii="Arial" w:hAnsi="Arial" w:cs="Arial"/>
          <w:sz w:val="24"/>
          <w:szCs w:val="24"/>
        </w:rPr>
        <w:t xml:space="preserve"> </w:t>
      </w:r>
      <w:r w:rsidRPr="000456AF">
        <w:rPr>
          <w:rFonts w:ascii="Arial" w:eastAsia="Arial" w:hAnsi="Arial" w:cs="Arial"/>
          <w:sz w:val="24"/>
          <w:szCs w:val="24"/>
        </w:rPr>
        <w:t>applications</w:t>
      </w:r>
      <w:r w:rsidRPr="000456AF">
        <w:rPr>
          <w:rFonts w:ascii="Arial" w:hAnsi="Arial" w:cs="Arial"/>
          <w:sz w:val="24"/>
          <w:szCs w:val="24"/>
        </w:rPr>
        <w:t xml:space="preserve"> which are served on the landlord by the tenant </w:t>
      </w:r>
      <w:r w:rsidRPr="000456AF">
        <w:rPr>
          <w:rFonts w:ascii="Arial" w:hAnsi="Arial" w:cs="Arial"/>
          <w:sz w:val="24"/>
          <w:szCs w:val="24"/>
          <w:u w:val="single"/>
        </w:rPr>
        <w:t>on or after 6 April 202</w:t>
      </w:r>
      <w:r w:rsidR="653A7430" w:rsidRPr="000456AF">
        <w:rPr>
          <w:rFonts w:ascii="Arial" w:hAnsi="Arial" w:cs="Arial"/>
          <w:sz w:val="24"/>
          <w:szCs w:val="24"/>
          <w:u w:val="single"/>
        </w:rPr>
        <w:t>4</w:t>
      </w:r>
      <w:r w:rsidRPr="000456AF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</w:p>
    <w:p w14:paraId="4BCD8A07" w14:textId="77777777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</w:p>
    <w:p w14:paraId="06E26569" w14:textId="6B08E3B8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  <w:r w:rsidRPr="000456AF">
        <w:rPr>
          <w:rFonts w:ascii="Arial" w:hAnsi="Arial" w:cs="Arial"/>
          <w:sz w:val="24"/>
          <w:szCs w:val="24"/>
        </w:rPr>
        <w:t xml:space="preserve">The discounts </w:t>
      </w:r>
      <w:r w:rsidRPr="000456AF">
        <w:rPr>
          <w:rFonts w:ascii="Arial" w:hAnsi="Arial" w:cs="Arial"/>
          <w:sz w:val="24"/>
          <w:szCs w:val="24"/>
          <w:u w:val="single"/>
        </w:rPr>
        <w:t>do not</w:t>
      </w:r>
      <w:r w:rsidRPr="000456AF">
        <w:rPr>
          <w:rFonts w:ascii="Arial" w:hAnsi="Arial" w:cs="Arial"/>
          <w:sz w:val="24"/>
          <w:szCs w:val="24"/>
        </w:rPr>
        <w:t xml:space="preserve"> apply </w:t>
      </w:r>
      <w:r w:rsidRPr="000456AF">
        <w:rPr>
          <w:rFonts w:ascii="Arial" w:eastAsia="Arial" w:hAnsi="Arial" w:cs="Arial"/>
          <w:sz w:val="24"/>
          <w:szCs w:val="24"/>
        </w:rPr>
        <w:t>retrospectively</w:t>
      </w:r>
      <w:r w:rsidRPr="000456AF">
        <w:rPr>
          <w:rFonts w:ascii="Arial" w:hAnsi="Arial" w:cs="Arial"/>
          <w:sz w:val="24"/>
          <w:szCs w:val="24"/>
        </w:rPr>
        <w:t xml:space="preserve"> to applications made before 6 April 202</w:t>
      </w:r>
      <w:r w:rsidR="16B5CFC0" w:rsidRPr="000456AF">
        <w:rPr>
          <w:rFonts w:ascii="Arial" w:hAnsi="Arial" w:cs="Arial"/>
          <w:sz w:val="24"/>
          <w:szCs w:val="24"/>
        </w:rPr>
        <w:t>4</w:t>
      </w:r>
      <w:r w:rsidRPr="000456AF">
        <w:rPr>
          <w:rFonts w:ascii="Arial" w:hAnsi="Arial" w:cs="Arial"/>
          <w:b/>
          <w:bCs/>
          <w:sz w:val="24"/>
          <w:szCs w:val="24"/>
        </w:rPr>
        <w:t>.</w:t>
      </w:r>
    </w:p>
    <w:p w14:paraId="4ED7E8C0" w14:textId="77777777" w:rsidR="006740B7" w:rsidRPr="000456AF" w:rsidRDefault="006740B7" w:rsidP="006740B7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61130BF" w14:textId="69968778" w:rsidR="006740B7" w:rsidRPr="000456AF" w:rsidRDefault="006740B7" w:rsidP="006740B7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0456AF">
        <w:rPr>
          <w:rFonts w:ascii="Arial" w:eastAsia="Arial" w:hAnsi="Arial" w:cs="Arial"/>
          <w:b/>
          <w:bCs/>
          <w:sz w:val="24"/>
          <w:szCs w:val="24"/>
          <w:u w:val="single"/>
        </w:rPr>
        <w:t>Information for Tenants</w:t>
      </w:r>
    </w:p>
    <w:p w14:paraId="631C8138" w14:textId="7DB2BFE0" w:rsidR="006740B7" w:rsidRPr="000456AF" w:rsidRDefault="006740B7" w:rsidP="006740B7">
      <w:pPr>
        <w:rPr>
          <w:rFonts w:ascii="Arial" w:hAnsi="Arial" w:cs="Arial"/>
          <w:sz w:val="24"/>
          <w:szCs w:val="24"/>
        </w:rPr>
      </w:pPr>
    </w:p>
    <w:p w14:paraId="0F0B36CA" w14:textId="77777777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To ensure social housing tenants continue to know about the Right to Buy, landlords are legally required to issue an information document:</w:t>
      </w:r>
    </w:p>
    <w:p w14:paraId="3C418BFF" w14:textId="77777777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 xml:space="preserve"> </w:t>
      </w:r>
    </w:p>
    <w:p w14:paraId="39A47A59" w14:textId="77777777" w:rsidR="006740B7" w:rsidRPr="000456AF" w:rsidRDefault="006740B7" w:rsidP="006740B7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Immediately to all their new secure tenants</w:t>
      </w:r>
    </w:p>
    <w:p w14:paraId="75F67176" w14:textId="77777777" w:rsidR="006740B7" w:rsidRPr="000456AF" w:rsidRDefault="006740B7" w:rsidP="006740B7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At least once every 5 years to all their secure tenants</w:t>
      </w:r>
    </w:p>
    <w:p w14:paraId="5DF8FFE0" w14:textId="0B1330FC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  <w:r w:rsidRPr="7C2DA44B">
        <w:rPr>
          <w:rFonts w:ascii="Arial" w:eastAsia="Arial" w:hAnsi="Arial" w:cs="Arial"/>
          <w:sz w:val="24"/>
          <w:szCs w:val="24"/>
        </w:rPr>
        <w:t>This document must contain specific information including:</w:t>
      </w:r>
    </w:p>
    <w:p w14:paraId="347D291D" w14:textId="77777777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lastRenderedPageBreak/>
        <w:t xml:space="preserve"> </w:t>
      </w:r>
    </w:p>
    <w:p w14:paraId="409F173A" w14:textId="77777777" w:rsidR="006740B7" w:rsidRPr="000456AF" w:rsidRDefault="006740B7" w:rsidP="006740B7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 xml:space="preserve">Eligibility for, and exclusions from, the scheme including </w:t>
      </w:r>
      <w:proofErr w:type="gramStart"/>
      <w:r w:rsidRPr="000456AF">
        <w:rPr>
          <w:rFonts w:ascii="Arial" w:eastAsia="Arial" w:hAnsi="Arial" w:cs="Arial"/>
          <w:sz w:val="24"/>
          <w:szCs w:val="24"/>
        </w:rPr>
        <w:t>discounts</w:t>
      </w:r>
      <w:proofErr w:type="gramEnd"/>
    </w:p>
    <w:p w14:paraId="324ACFCF" w14:textId="77777777" w:rsidR="006740B7" w:rsidRPr="000456AF" w:rsidRDefault="006740B7" w:rsidP="006740B7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How to apply for the Right to Buy</w:t>
      </w:r>
    </w:p>
    <w:p w14:paraId="7B12F377" w14:textId="77777777" w:rsidR="006740B7" w:rsidRPr="000456AF" w:rsidRDefault="006740B7" w:rsidP="006740B7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The delay notice procedures</w:t>
      </w:r>
    </w:p>
    <w:p w14:paraId="21131012" w14:textId="77777777" w:rsidR="006740B7" w:rsidRPr="000456AF" w:rsidRDefault="006740B7" w:rsidP="006740B7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 xml:space="preserve">Homebuying costs </w:t>
      </w:r>
      <w:proofErr w:type="gramStart"/>
      <w:r w:rsidRPr="000456AF">
        <w:rPr>
          <w:rFonts w:ascii="Arial" w:eastAsia="Arial" w:hAnsi="Arial" w:cs="Arial"/>
          <w:sz w:val="24"/>
          <w:szCs w:val="24"/>
        </w:rPr>
        <w:t>e.g.</w:t>
      </w:r>
      <w:proofErr w:type="gramEnd"/>
      <w:r w:rsidRPr="000456AF">
        <w:rPr>
          <w:rFonts w:ascii="Arial" w:eastAsia="Arial" w:hAnsi="Arial" w:cs="Arial"/>
          <w:sz w:val="24"/>
          <w:szCs w:val="24"/>
        </w:rPr>
        <w:t xml:space="preserve"> stamp duty, legal and survey fees, costs associated with taking out a mortgage</w:t>
      </w:r>
    </w:p>
    <w:p w14:paraId="735C557B" w14:textId="77777777" w:rsidR="006740B7" w:rsidRPr="000456AF" w:rsidRDefault="006740B7" w:rsidP="006740B7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 xml:space="preserve">Costs and responsibilities associated with home ownership </w:t>
      </w:r>
      <w:proofErr w:type="gramStart"/>
      <w:r w:rsidRPr="000456AF">
        <w:rPr>
          <w:rFonts w:ascii="Arial" w:eastAsia="Arial" w:hAnsi="Arial" w:cs="Arial"/>
          <w:sz w:val="24"/>
          <w:szCs w:val="24"/>
        </w:rPr>
        <w:t>e.g.</w:t>
      </w:r>
      <w:proofErr w:type="gramEnd"/>
      <w:r w:rsidRPr="000456AF">
        <w:rPr>
          <w:rFonts w:ascii="Arial" w:eastAsia="Arial" w:hAnsi="Arial" w:cs="Arial"/>
          <w:sz w:val="24"/>
          <w:szCs w:val="24"/>
        </w:rPr>
        <w:t xml:space="preserve"> mortgage payments, service charges, maintenance of the property</w:t>
      </w:r>
    </w:p>
    <w:p w14:paraId="384852CF" w14:textId="77777777" w:rsidR="006740B7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 xml:space="preserve"> </w:t>
      </w:r>
    </w:p>
    <w:p w14:paraId="3FB2BE95" w14:textId="0C016CDA" w:rsidR="006740B7" w:rsidRPr="000456AF" w:rsidRDefault="006740B7" w:rsidP="65A56277">
      <w:pPr>
        <w:jc w:val="both"/>
        <w:rPr>
          <w:rFonts w:ascii="Arial" w:eastAsia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Alongside the statutory provision on information, it may be helpful for tenants to be provided with wider details about the Right to Buy on a more regular basis as well as</w:t>
      </w:r>
      <w:r w:rsidR="69BF47B2" w:rsidRPr="000456AF">
        <w:rPr>
          <w:rFonts w:ascii="Arial" w:eastAsia="Arial" w:hAnsi="Arial" w:cs="Arial"/>
          <w:sz w:val="24"/>
          <w:szCs w:val="24"/>
        </w:rPr>
        <w:t xml:space="preserve"> </w:t>
      </w:r>
      <w:r w:rsidRPr="000456AF">
        <w:rPr>
          <w:rFonts w:ascii="Arial" w:eastAsia="Arial" w:hAnsi="Arial" w:cs="Arial"/>
          <w:sz w:val="24"/>
          <w:szCs w:val="24"/>
        </w:rPr>
        <w:t>information about the correct way of applying. A better understanding of the scheme is likely to help tenants work out if buying their home might be an affordable and sustainable choice for them; and increase the likelihood that landlords would deal with both fewer enquiries and fewer abortive applications. It will also reduce the number of applications incorrectly sent to the Department.</w:t>
      </w:r>
    </w:p>
    <w:p w14:paraId="47462EB9" w14:textId="77777777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 xml:space="preserve"> </w:t>
      </w:r>
    </w:p>
    <w:p w14:paraId="18B37F68" w14:textId="77777777" w:rsidR="00D2148C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Int_sViK7Zl1"/>
      <w:proofErr w:type="gramStart"/>
      <w:r w:rsidRPr="000456AF">
        <w:rPr>
          <w:rFonts w:ascii="Arial" w:eastAsia="Arial" w:hAnsi="Arial" w:cs="Arial"/>
          <w:sz w:val="24"/>
          <w:szCs w:val="24"/>
        </w:rPr>
        <w:t>One way</w:t>
      </w:r>
      <w:bookmarkEnd w:id="0"/>
      <w:proofErr w:type="gramEnd"/>
      <w:r w:rsidRPr="000456AF">
        <w:rPr>
          <w:rFonts w:ascii="Arial" w:eastAsia="Arial" w:hAnsi="Arial" w:cs="Arial"/>
          <w:sz w:val="24"/>
          <w:szCs w:val="24"/>
        </w:rPr>
        <w:t xml:space="preserve"> landlords might wish to do this would be to signpost tenants to the Right to Buy Agent service: </w:t>
      </w:r>
    </w:p>
    <w:p w14:paraId="2A483B3E" w14:textId="77777777" w:rsidR="00D2148C" w:rsidRPr="000456AF" w:rsidRDefault="0094357A" w:rsidP="006740B7">
      <w:pPr>
        <w:jc w:val="both"/>
        <w:rPr>
          <w:rFonts w:ascii="Arial" w:eastAsia="Arial" w:hAnsi="Arial" w:cs="Arial"/>
          <w:sz w:val="24"/>
          <w:szCs w:val="24"/>
        </w:rPr>
      </w:pPr>
      <w:hyperlink r:id="rId12">
        <w:r w:rsidR="00D2148C" w:rsidRPr="000456AF">
          <w:rPr>
            <w:rStyle w:val="Hyperlink"/>
            <w:rFonts w:ascii="Arial" w:hAnsi="Arial" w:cs="Arial"/>
            <w:sz w:val="24"/>
            <w:szCs w:val="24"/>
          </w:rPr>
          <w:t>https://www.ownyourhome.gov.uk/scheme/right-to-buy/contact-an-agent/</w:t>
        </w:r>
      </w:hyperlink>
      <w:r w:rsidR="006740B7" w:rsidRPr="000456AF">
        <w:rPr>
          <w:rFonts w:ascii="Arial" w:eastAsia="Arial" w:hAnsi="Arial" w:cs="Arial"/>
          <w:sz w:val="24"/>
          <w:szCs w:val="24"/>
        </w:rPr>
        <w:t xml:space="preserve">; </w:t>
      </w:r>
    </w:p>
    <w:p w14:paraId="639B759C" w14:textId="004D231A" w:rsidR="00175D98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to the Right to Buy website:</w:t>
      </w:r>
    </w:p>
    <w:p w14:paraId="4E8E735E" w14:textId="77777777" w:rsidR="00D2148C" w:rsidRPr="000456AF" w:rsidRDefault="0094357A" w:rsidP="006740B7">
      <w:pPr>
        <w:jc w:val="both"/>
        <w:rPr>
          <w:rFonts w:ascii="Arial" w:eastAsia="Arial" w:hAnsi="Arial" w:cs="Arial"/>
          <w:sz w:val="24"/>
          <w:szCs w:val="24"/>
        </w:rPr>
      </w:pPr>
      <w:hyperlink r:id="rId13">
        <w:r w:rsidR="006740B7" w:rsidRPr="000456AF">
          <w:rPr>
            <w:rStyle w:val="Hyperlink"/>
            <w:rFonts w:ascii="Arial" w:hAnsi="Arial" w:cs="Arial"/>
            <w:sz w:val="24"/>
            <w:szCs w:val="24"/>
          </w:rPr>
          <w:t>https://www.ownyourhome.gov.uk/scheme/right-to-buy/</w:t>
        </w:r>
      </w:hyperlink>
      <w:r w:rsidR="006740B7" w:rsidRPr="000456AF">
        <w:rPr>
          <w:rFonts w:ascii="Arial" w:eastAsia="Arial" w:hAnsi="Arial" w:cs="Arial"/>
          <w:sz w:val="24"/>
          <w:szCs w:val="24"/>
        </w:rPr>
        <w:t xml:space="preserve">; </w:t>
      </w:r>
    </w:p>
    <w:p w14:paraId="6A7B4BD1" w14:textId="21B77CAF" w:rsidR="006740B7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 xml:space="preserve">or to the relevant page on </w:t>
      </w:r>
      <w:r w:rsidR="0EDC3EE9" w:rsidRPr="000456AF">
        <w:rPr>
          <w:rFonts w:ascii="Arial" w:eastAsia="Arial" w:hAnsi="Arial" w:cs="Arial"/>
          <w:sz w:val="24"/>
          <w:szCs w:val="24"/>
        </w:rPr>
        <w:t xml:space="preserve">your </w:t>
      </w:r>
      <w:r w:rsidRPr="000456AF">
        <w:rPr>
          <w:rFonts w:ascii="Arial" w:eastAsia="Arial" w:hAnsi="Arial" w:cs="Arial"/>
          <w:sz w:val="24"/>
          <w:szCs w:val="24"/>
        </w:rPr>
        <w:t>organisation’s own website.</w:t>
      </w:r>
    </w:p>
    <w:p w14:paraId="17187E40" w14:textId="77777777" w:rsidR="006740B7" w:rsidRPr="000456AF" w:rsidRDefault="006740B7" w:rsidP="006740B7">
      <w:pPr>
        <w:jc w:val="both"/>
        <w:rPr>
          <w:rFonts w:ascii="Arial" w:hAnsi="Arial" w:cs="Arial"/>
          <w:sz w:val="24"/>
          <w:szCs w:val="24"/>
        </w:rPr>
      </w:pPr>
    </w:p>
    <w:p w14:paraId="21B01141" w14:textId="77777777" w:rsidR="006740B7" w:rsidRPr="000456AF" w:rsidRDefault="006740B7" w:rsidP="006740B7">
      <w:pPr>
        <w:jc w:val="both"/>
        <w:rPr>
          <w:rFonts w:ascii="Arial" w:eastAsia="Arial" w:hAnsi="Arial" w:cs="Arial"/>
          <w:sz w:val="24"/>
          <w:szCs w:val="24"/>
        </w:rPr>
      </w:pPr>
      <w:r w:rsidRPr="00D8672A">
        <w:rPr>
          <w:rFonts w:ascii="Arial" w:eastAsia="Arial" w:hAnsi="Arial" w:cs="Arial"/>
          <w:sz w:val="24"/>
          <w:szCs w:val="24"/>
        </w:rPr>
        <w:t>The Government guidance</w:t>
      </w:r>
      <w:r w:rsidRPr="00D8672A">
        <w:rPr>
          <w:rFonts w:ascii="Arial" w:eastAsia="Arial" w:hAnsi="Arial" w:cs="Arial"/>
          <w:i/>
          <w:iCs/>
          <w:sz w:val="24"/>
          <w:szCs w:val="24"/>
        </w:rPr>
        <w:t>, Right to Buy – A Guide for Local Authorities</w:t>
      </w:r>
      <w:r w:rsidRPr="00D8672A">
        <w:rPr>
          <w:rFonts w:ascii="Arial" w:eastAsia="Arial" w:hAnsi="Arial" w:cs="Arial"/>
          <w:sz w:val="24"/>
          <w:szCs w:val="24"/>
        </w:rPr>
        <w:t xml:space="preserve">, is aimed at helping landlords manage the scheme and includes information on how landlords can meet their legal obligation to provide information to their secure tenants. </w:t>
      </w:r>
      <w:r w:rsidRPr="000456AF">
        <w:rPr>
          <w:rFonts w:ascii="Arial" w:eastAsia="Arial" w:hAnsi="Arial" w:cs="Arial"/>
          <w:sz w:val="24"/>
          <w:szCs w:val="24"/>
        </w:rPr>
        <w:t xml:space="preserve">The Guide can be found at: </w:t>
      </w:r>
    </w:p>
    <w:p w14:paraId="1934C319" w14:textId="7B3B0B04" w:rsidR="77842B8F" w:rsidRPr="000456AF" w:rsidRDefault="77842B8F" w:rsidP="77842B8F">
      <w:pPr>
        <w:jc w:val="both"/>
        <w:rPr>
          <w:rFonts w:ascii="Arial" w:eastAsia="Arial" w:hAnsi="Arial" w:cs="Arial"/>
          <w:sz w:val="24"/>
          <w:szCs w:val="24"/>
        </w:rPr>
      </w:pPr>
    </w:p>
    <w:p w14:paraId="7CF22D22" w14:textId="62212FDD" w:rsidR="6BB565E6" w:rsidRPr="007A6FA2" w:rsidRDefault="0094357A" w:rsidP="007A6FA2">
      <w:pPr>
        <w:spacing w:after="120" w:line="276" w:lineRule="auto"/>
        <w:jc w:val="both"/>
        <w:rPr>
          <w:rStyle w:val="Hyperlink"/>
        </w:rPr>
      </w:pPr>
      <w:hyperlink r:id="rId14" w:history="1">
        <w:r w:rsidR="6BB565E6" w:rsidRPr="007A6FA2">
          <w:rPr>
            <w:rStyle w:val="Hyperlink"/>
            <w:rFonts w:ascii="Arial" w:hAnsi="Arial" w:cs="Arial"/>
            <w:sz w:val="24"/>
            <w:szCs w:val="24"/>
          </w:rPr>
          <w:t>https://assets.publishing.service.gov.uk/government/uploads/system/uploads/attachment_data/file/1166104/Right_to_Buy_-_A_Guide_for_Local_Authorities_-_April_2023.pdf</w:t>
        </w:r>
      </w:hyperlink>
    </w:p>
    <w:p w14:paraId="241310A8" w14:textId="05AC3E97" w:rsidR="6BB565E6" w:rsidRPr="000456AF" w:rsidRDefault="006740B7" w:rsidP="00FE5E4B">
      <w:pPr>
        <w:jc w:val="both"/>
        <w:rPr>
          <w:rFonts w:ascii="Arial" w:hAnsi="Arial" w:cs="Arial"/>
          <w:sz w:val="24"/>
          <w:szCs w:val="24"/>
        </w:rPr>
      </w:pPr>
      <w:r w:rsidRPr="000456AF">
        <w:rPr>
          <w:rFonts w:ascii="Arial" w:eastAsia="Arial" w:hAnsi="Arial" w:cs="Arial"/>
          <w:sz w:val="24"/>
          <w:szCs w:val="24"/>
        </w:rPr>
        <w:t>Thank</w:t>
      </w:r>
      <w:r w:rsidRPr="000456AF">
        <w:rPr>
          <w:rFonts w:ascii="Arial" w:hAnsi="Arial" w:cs="Arial"/>
          <w:sz w:val="24"/>
          <w:szCs w:val="24"/>
        </w:rPr>
        <w:t xml:space="preserve"> you for your continued work on the Right to Buy scheme and supporting more people to become homeowners.</w:t>
      </w:r>
    </w:p>
    <w:p w14:paraId="723F0C4C" w14:textId="77777777" w:rsidR="006740B7" w:rsidRPr="00C1581A" w:rsidRDefault="006740B7" w:rsidP="006740B7">
      <w:pPr>
        <w:ind w:right="-20"/>
        <w:rPr>
          <w:rFonts w:ascii="Arial" w:hAnsi="Arial" w:cs="Arial"/>
          <w:sz w:val="24"/>
          <w:szCs w:val="24"/>
        </w:rPr>
      </w:pPr>
    </w:p>
    <w:p w14:paraId="6F853535" w14:textId="681F88EA" w:rsidR="7C2DA44B" w:rsidRDefault="7C2DA44B" w:rsidP="7C2DA44B">
      <w:pPr>
        <w:ind w:right="-20"/>
        <w:rPr>
          <w:rFonts w:ascii="Arial" w:hAnsi="Arial" w:cs="Arial"/>
          <w:sz w:val="24"/>
          <w:szCs w:val="24"/>
        </w:rPr>
      </w:pPr>
    </w:p>
    <w:p w14:paraId="49CF0B7E" w14:textId="4DFCB1D5" w:rsidR="006740B7" w:rsidRPr="00C3453B" w:rsidRDefault="006740B7" w:rsidP="006740B7">
      <w:pPr>
        <w:ind w:right="-20"/>
        <w:rPr>
          <w:rFonts w:ascii="Arial" w:hAnsi="Arial" w:cs="Arial"/>
          <w:sz w:val="24"/>
          <w:szCs w:val="24"/>
        </w:rPr>
      </w:pPr>
      <w:r w:rsidRPr="00C3453B">
        <w:rPr>
          <w:rFonts w:ascii="Arial" w:hAnsi="Arial" w:cs="Arial"/>
          <w:sz w:val="24"/>
          <w:szCs w:val="24"/>
        </w:rPr>
        <w:t>Yours sincerely,</w:t>
      </w:r>
    </w:p>
    <w:p w14:paraId="26F8AD21" w14:textId="3412F261" w:rsidR="006740B7" w:rsidRPr="00C3453B" w:rsidRDefault="00472A2E" w:rsidP="006740B7">
      <w:pPr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5E93F97" wp14:editId="33797C70">
            <wp:extent cx="3181350" cy="5371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53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FEE4" w14:textId="6F9EF07B" w:rsidR="7C2DA44B" w:rsidRDefault="7C2DA44B" w:rsidP="7C2DA44B">
      <w:pPr>
        <w:ind w:right="-20"/>
        <w:rPr>
          <w:rFonts w:ascii="Arial" w:hAnsi="Arial" w:cs="Arial"/>
          <w:sz w:val="24"/>
          <w:szCs w:val="24"/>
        </w:rPr>
      </w:pPr>
    </w:p>
    <w:p w14:paraId="050747D1" w14:textId="77777777" w:rsidR="00F226DF" w:rsidRPr="00C3453B" w:rsidRDefault="005B6889" w:rsidP="00F226DF">
      <w:pPr>
        <w:ind w:right="-20"/>
        <w:rPr>
          <w:rFonts w:ascii="Arial" w:hAnsi="Arial" w:cs="Arial"/>
          <w:sz w:val="24"/>
          <w:szCs w:val="24"/>
        </w:rPr>
      </w:pPr>
      <w:r w:rsidRPr="00C3453B">
        <w:rPr>
          <w:rFonts w:ascii="Arial" w:hAnsi="Arial" w:cs="Arial"/>
          <w:sz w:val="24"/>
          <w:szCs w:val="24"/>
        </w:rPr>
        <w:t>Victoria Latham</w:t>
      </w:r>
      <w:r w:rsidR="00F226DF" w:rsidRPr="00C3453B">
        <w:rPr>
          <w:rFonts w:ascii="Arial" w:hAnsi="Arial" w:cs="Arial"/>
          <w:sz w:val="24"/>
          <w:szCs w:val="24"/>
        </w:rPr>
        <w:t xml:space="preserve">. </w:t>
      </w:r>
    </w:p>
    <w:p w14:paraId="4D77FBFF" w14:textId="4E6FF49D" w:rsidR="006740B7" w:rsidRDefault="005B6889" w:rsidP="00F226DF">
      <w:pPr>
        <w:ind w:right="-20"/>
      </w:pPr>
      <w:r w:rsidRPr="7C2DA44B">
        <w:rPr>
          <w:rFonts w:ascii="Arial" w:hAnsi="Arial" w:cs="Arial"/>
          <w:sz w:val="24"/>
          <w:szCs w:val="24"/>
          <w:lang w:val="en-US"/>
        </w:rPr>
        <w:t>Deputy Director,</w:t>
      </w:r>
      <w:r w:rsidRPr="7C2DA44B">
        <w:rPr>
          <w:rFonts w:ascii="Arial" w:hAnsi="Arial" w:cs="Arial"/>
          <w:sz w:val="24"/>
          <w:szCs w:val="24"/>
        </w:rPr>
        <w:t> </w:t>
      </w:r>
      <w:r w:rsidR="5B841F62" w:rsidRPr="7C2DA44B">
        <w:rPr>
          <w:rFonts w:ascii="Arial" w:hAnsi="Arial" w:cs="Arial"/>
          <w:sz w:val="24"/>
          <w:szCs w:val="24"/>
        </w:rPr>
        <w:t>Council Housing</w:t>
      </w:r>
    </w:p>
    <w:sectPr w:rsidR="006740B7" w:rsidSect="0091427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05A6" w14:textId="77777777" w:rsidR="00D732DE" w:rsidRDefault="00D732DE" w:rsidP="005C62D6">
      <w:r>
        <w:separator/>
      </w:r>
    </w:p>
  </w:endnote>
  <w:endnote w:type="continuationSeparator" w:id="0">
    <w:p w14:paraId="77EE3BBA" w14:textId="77777777" w:rsidR="00D732DE" w:rsidRDefault="00D732DE" w:rsidP="005C62D6">
      <w:r>
        <w:continuationSeparator/>
      </w:r>
    </w:p>
  </w:endnote>
  <w:endnote w:type="continuationNotice" w:id="1">
    <w:p w14:paraId="19460470" w14:textId="77777777" w:rsidR="00D732DE" w:rsidRDefault="00D73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4A63" w14:textId="77777777" w:rsidR="005C62D6" w:rsidRDefault="005C6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349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F29E2" w14:textId="325CB0F3" w:rsidR="005C62D6" w:rsidRDefault="005C6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1DCE0" w14:textId="77777777" w:rsidR="005C62D6" w:rsidRDefault="005C6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9273" w14:textId="77777777" w:rsidR="005C62D6" w:rsidRDefault="005C6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6A08" w14:textId="77777777" w:rsidR="00D732DE" w:rsidRDefault="00D732DE" w:rsidP="005C62D6">
      <w:r>
        <w:separator/>
      </w:r>
    </w:p>
  </w:footnote>
  <w:footnote w:type="continuationSeparator" w:id="0">
    <w:p w14:paraId="44446764" w14:textId="77777777" w:rsidR="00D732DE" w:rsidRDefault="00D732DE" w:rsidP="005C62D6">
      <w:r>
        <w:continuationSeparator/>
      </w:r>
    </w:p>
  </w:footnote>
  <w:footnote w:type="continuationNotice" w:id="1">
    <w:p w14:paraId="07CE01A5" w14:textId="77777777" w:rsidR="00D732DE" w:rsidRDefault="00D73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BC3D" w14:textId="77777777" w:rsidR="005C62D6" w:rsidRDefault="005C6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3931" w14:textId="77777777" w:rsidR="005C62D6" w:rsidRDefault="005C62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8159" w14:textId="77777777" w:rsidR="005C62D6" w:rsidRDefault="005C62D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ViK7Zl1" int2:invalidationBookmarkName="" int2:hashCode="rgRvgmSkIVc8s7" int2:id="ZvsFzmU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7A1"/>
    <w:multiLevelType w:val="hybridMultilevel"/>
    <w:tmpl w:val="4B288F36"/>
    <w:lvl w:ilvl="0" w:tplc="7CFADEC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70E8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A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A9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C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07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6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C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9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46340"/>
    <w:multiLevelType w:val="hybridMultilevel"/>
    <w:tmpl w:val="C504A108"/>
    <w:lvl w:ilvl="0" w:tplc="4C7E0D7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8D00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8D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8E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A2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AA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E7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C4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82717">
    <w:abstractNumId w:val="0"/>
  </w:num>
  <w:num w:numId="2" w16cid:durableId="66397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7"/>
    <w:rsid w:val="000456AF"/>
    <w:rsid w:val="0016521C"/>
    <w:rsid w:val="00175D98"/>
    <w:rsid w:val="00183814"/>
    <w:rsid w:val="001A5461"/>
    <w:rsid w:val="001A62EE"/>
    <w:rsid w:val="001B68CC"/>
    <w:rsid w:val="001C3B26"/>
    <w:rsid w:val="001E3668"/>
    <w:rsid w:val="001E760E"/>
    <w:rsid w:val="00215D4B"/>
    <w:rsid w:val="00234FC7"/>
    <w:rsid w:val="00261F8B"/>
    <w:rsid w:val="002A76F9"/>
    <w:rsid w:val="002D3BA1"/>
    <w:rsid w:val="003342A1"/>
    <w:rsid w:val="00351436"/>
    <w:rsid w:val="00354D7E"/>
    <w:rsid w:val="00357733"/>
    <w:rsid w:val="003D7C64"/>
    <w:rsid w:val="004256BF"/>
    <w:rsid w:val="00472A2E"/>
    <w:rsid w:val="00494933"/>
    <w:rsid w:val="00505FA9"/>
    <w:rsid w:val="0053483E"/>
    <w:rsid w:val="005B38E6"/>
    <w:rsid w:val="005B6889"/>
    <w:rsid w:val="005C1DEC"/>
    <w:rsid w:val="005C62D6"/>
    <w:rsid w:val="006740B7"/>
    <w:rsid w:val="006A4C27"/>
    <w:rsid w:val="007A6FA2"/>
    <w:rsid w:val="00847315"/>
    <w:rsid w:val="008C3CD4"/>
    <w:rsid w:val="008E0CAE"/>
    <w:rsid w:val="00914273"/>
    <w:rsid w:val="00926826"/>
    <w:rsid w:val="0098416C"/>
    <w:rsid w:val="009C3B85"/>
    <w:rsid w:val="009D746A"/>
    <w:rsid w:val="009E2903"/>
    <w:rsid w:val="00B578FF"/>
    <w:rsid w:val="00B778BA"/>
    <w:rsid w:val="00B80FDC"/>
    <w:rsid w:val="00B91242"/>
    <w:rsid w:val="00BC1AE0"/>
    <w:rsid w:val="00BC6900"/>
    <w:rsid w:val="00C1581A"/>
    <w:rsid w:val="00C20A4D"/>
    <w:rsid w:val="00C3453B"/>
    <w:rsid w:val="00C53363"/>
    <w:rsid w:val="00D2148C"/>
    <w:rsid w:val="00D41AFF"/>
    <w:rsid w:val="00D732DE"/>
    <w:rsid w:val="00D762B8"/>
    <w:rsid w:val="00D8672A"/>
    <w:rsid w:val="00DE2E8C"/>
    <w:rsid w:val="00E7ED12"/>
    <w:rsid w:val="00E818C9"/>
    <w:rsid w:val="00F226DF"/>
    <w:rsid w:val="00F47B6A"/>
    <w:rsid w:val="00FE5E4B"/>
    <w:rsid w:val="028811BF"/>
    <w:rsid w:val="0325749B"/>
    <w:rsid w:val="060D8F8A"/>
    <w:rsid w:val="0752D726"/>
    <w:rsid w:val="0A352AA4"/>
    <w:rsid w:val="0AF4A333"/>
    <w:rsid w:val="0B5124AC"/>
    <w:rsid w:val="0E2C43F5"/>
    <w:rsid w:val="0E7DB0BA"/>
    <w:rsid w:val="0EDC3EE9"/>
    <w:rsid w:val="131D7BD7"/>
    <w:rsid w:val="16B5CFC0"/>
    <w:rsid w:val="16C4C039"/>
    <w:rsid w:val="174C2E7E"/>
    <w:rsid w:val="1BEFE1FC"/>
    <w:rsid w:val="1E07251A"/>
    <w:rsid w:val="200B7102"/>
    <w:rsid w:val="2614FD4B"/>
    <w:rsid w:val="26A6D3EF"/>
    <w:rsid w:val="336633A8"/>
    <w:rsid w:val="33664CF5"/>
    <w:rsid w:val="34B03942"/>
    <w:rsid w:val="3722E0EA"/>
    <w:rsid w:val="3BA04CF7"/>
    <w:rsid w:val="3DB5670E"/>
    <w:rsid w:val="3E06D3D3"/>
    <w:rsid w:val="4776C5D1"/>
    <w:rsid w:val="4D547C26"/>
    <w:rsid w:val="4F1752EF"/>
    <w:rsid w:val="5110DA47"/>
    <w:rsid w:val="5147BDE2"/>
    <w:rsid w:val="54966ABA"/>
    <w:rsid w:val="55CD4E71"/>
    <w:rsid w:val="56323B1B"/>
    <w:rsid w:val="56B1CA7E"/>
    <w:rsid w:val="5783D8B8"/>
    <w:rsid w:val="58B79CD6"/>
    <w:rsid w:val="5B841F62"/>
    <w:rsid w:val="5BB3123B"/>
    <w:rsid w:val="5BFB4B66"/>
    <w:rsid w:val="5E7780F2"/>
    <w:rsid w:val="63EE91C6"/>
    <w:rsid w:val="653A7430"/>
    <w:rsid w:val="6589054F"/>
    <w:rsid w:val="65A05177"/>
    <w:rsid w:val="65A56277"/>
    <w:rsid w:val="65F1168E"/>
    <w:rsid w:val="69BF47B2"/>
    <w:rsid w:val="6BB565E6"/>
    <w:rsid w:val="705D028C"/>
    <w:rsid w:val="71B5A2C2"/>
    <w:rsid w:val="7394A34E"/>
    <w:rsid w:val="759D3E78"/>
    <w:rsid w:val="75CB1665"/>
    <w:rsid w:val="7654B801"/>
    <w:rsid w:val="77842B8F"/>
    <w:rsid w:val="77E70205"/>
    <w:rsid w:val="79202239"/>
    <w:rsid w:val="7B149BBE"/>
    <w:rsid w:val="7C2DA44B"/>
    <w:rsid w:val="7C31ACC9"/>
    <w:rsid w:val="7CE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1C8E"/>
  <w15:chartTrackingRefBased/>
  <w15:docId w15:val="{E713C57D-DCA8-4E66-8944-3F54947D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B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4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0B7"/>
    <w:rPr>
      <w:rFonts w:eastAsia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0B7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0B7"/>
    <w:pPr>
      <w:ind w:left="720"/>
      <w:contextualSpacing/>
    </w:pPr>
    <w:rPr>
      <w:rFonts w:eastAsia="Calibri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6740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2D6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6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2D6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14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3BA1"/>
    <w:pPr>
      <w:spacing w:after="0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rsid w:val="005B68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461"/>
    <w:rPr>
      <w:rFonts w:eastAsiaTheme="minorHAnsi" w:cs="Calibri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461"/>
    <w:rPr>
      <w:rFonts w:ascii="Calibri" w:eastAsia="Calibri" w:hAnsi="Calibri" w:cs="Calibri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867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wnyourhome.gov.uk/scheme/right-to-buy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ownyourhome.gov.uk/scheme/right-to-buy/contact-an-agen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government/uploads/system/uploads/attachment_data/file/1166104/Right_to_Buy_-_A_Guide_for_Local_Authorities_-_April_202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N xmlns="d502b3ff-8f09-4081-8833-b4c510e42fbb" xsi:nil="true"/>
    <Comments xmlns="d502b3ff-8f09-4081-8833-b4c510e42fbb" xsi:nil="true"/>
    <Chronology xmlns="d502b3ff-8f09-4081-8833-b4c510e42fbb" xsi:nil="true"/>
    <Ref xmlns="d502b3ff-8f09-4081-8833-b4c510e42fbb" xsi:nil="true"/>
    <ChangedtoPDF xmlns="d502b3ff-8f09-4081-8833-b4c510e42fbb">true</ChangedtoPDF>
    <TaxCatchAll xmlns="83a87e31-bf32-46ab-8e70-9fa18461fa4d" xsi:nil="true"/>
    <lcf76f155ced4ddcb4097134ff3c332f xmlns="d502b3ff-8f09-4081-8833-b4c510e42f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E7AFB5A1DF64D846695AFCA54B68B" ma:contentTypeVersion="21" ma:contentTypeDescription="Create a new document." ma:contentTypeScope="" ma:versionID="1077235a4638d47a87a12db2a3117bf9">
  <xsd:schema xmlns:xsd="http://www.w3.org/2001/XMLSchema" xmlns:xs="http://www.w3.org/2001/XMLSchema" xmlns:p="http://schemas.microsoft.com/office/2006/metadata/properties" xmlns:ns2="d502b3ff-8f09-4081-8833-b4c510e42fbb" xmlns:ns3="6f7e91c6-bdb7-4b1d-ba58-7ffef3a5da7c" xmlns:ns4="83a87e31-bf32-46ab-8e70-9fa18461fa4d" targetNamespace="http://schemas.microsoft.com/office/2006/metadata/properties" ma:root="true" ma:fieldsID="9f08ec64939f27cc079e1012ced09d7a" ns2:_="" ns3:_="" ns4:_="">
    <xsd:import namespace="d502b3ff-8f09-4081-8833-b4c510e42fbb"/>
    <xsd:import namespace="6f7e91c6-bdb7-4b1d-ba58-7ffef3a5da7c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URN" minOccurs="0"/>
                <xsd:element ref="ns2:Chronology" minOccurs="0"/>
                <xsd:element ref="ns2:Comments" minOccurs="0"/>
                <xsd:element ref="ns2:ChangedtoPDF" minOccurs="0"/>
                <xsd:element ref="ns2:Ref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2b3ff-8f09-4081-8833-b4c510e42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N" ma:index="20" nillable="true" ma:displayName="URN" ma:decimals="0" ma:format="Dropdown" ma:internalName="URN" ma:percentage="FALSE">
      <xsd:simpleType>
        <xsd:restriction base="dms:Number"/>
      </xsd:simpleType>
    </xsd:element>
    <xsd:element name="Chronology" ma:index="21" nillable="true" ma:displayName="Chronology" ma:decimals="0" ma:format="Dropdown" ma:internalName="Chronology" ma:percentage="FALSE">
      <xsd:simpleType>
        <xsd:restriction base="dms:Number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ChangedtoPDF" ma:index="23" nillable="true" ma:displayName="Changed to PDF" ma:default="1" ma:format="Dropdown" ma:internalName="ChangedtoPDF">
      <xsd:simpleType>
        <xsd:restriction base="dms:Boolean"/>
      </xsd:simpleType>
    </xsd:element>
    <xsd:element name="Ref" ma:index="24" nillable="true" ma:displayName="Ref" ma:decimals="0" ma:description="Reference number correlating to the covering spreadsheet" ma:format="Dropdown" ma:internalName="Ref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91c6-bdb7-4b1d-ba58-7ffef3a5d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266ca698-4266-4c63-a480-5e8b4a050e33}" ma:internalName="TaxCatchAll" ma:showField="CatchAllData" ma:web="6f7e91c6-bdb7-4b1d-ba58-7ffef3a5d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BA02D-FE6B-42D7-8D06-60CEF180E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7721D-68A6-4009-88AD-7226E160E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DC80A-E3BB-4479-B8AD-88D9BA39D50C}">
  <ds:schemaRefs>
    <ds:schemaRef ds:uri="http://schemas.microsoft.com/office/2006/metadata/properties"/>
    <ds:schemaRef ds:uri="6f7e91c6-bdb7-4b1d-ba58-7ffef3a5da7c"/>
    <ds:schemaRef ds:uri="d502b3ff-8f09-4081-8833-b4c510e42f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3a87e31-bf32-46ab-8e70-9fa18461fa4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414539-F28B-44DE-BA2F-442978791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2b3ff-8f09-4081-8833-b4c510e42fbb"/>
    <ds:schemaRef ds:uri="6f7e91c6-bdb7-4b1d-ba58-7ffef3a5da7c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346810-9c7d-43de-a872-24a2ef3995a8}" enabled="0" method="" siteId="{bf346810-9c7d-43de-a872-24a2ef3995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Fletcher</dc:creator>
  <cp:keywords/>
  <dc:description/>
  <cp:lastModifiedBy>Steven Fletcher</cp:lastModifiedBy>
  <cp:revision>2</cp:revision>
  <dcterms:created xsi:type="dcterms:W3CDTF">2024-02-01T16:33:00Z</dcterms:created>
  <dcterms:modified xsi:type="dcterms:W3CDTF">2024-02-01T16:33:00Z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0x0101008C3E7AFB5A1DF64D846695AFCA54B68B</vt:lpwstr>
  </property>
  <property fmtid="{D5CDD505-2E9C-101B-9397-08002B2CF9AE}" pid="3" name="MediaServiceImageTags">
    <vt:lpwstr/>
  </property>
</Properties>
</file>