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D81A" w14:textId="376A9A5A" w:rsidR="00DE2424" w:rsidRDefault="00DE2424" w:rsidP="00DE2424">
      <w:pPr>
        <w:spacing w:after="0" w:line="245" w:lineRule="exact"/>
        <w:ind w:left="20" w:right="-53"/>
        <w:jc w:val="center"/>
      </w:pPr>
      <w:r>
        <w:rPr>
          <w:color w:val="365F91"/>
        </w:rPr>
        <w:t>London Borough of</w:t>
      </w:r>
      <w:r>
        <w:rPr>
          <w:color w:val="365F91"/>
          <w:spacing w:val="-2"/>
        </w:rPr>
        <w:t xml:space="preserve"> Newham</w:t>
      </w:r>
      <w:r>
        <w:rPr>
          <w:color w:val="365F91"/>
        </w:rPr>
        <w:t xml:space="preserve"> Pension Fund Admission Bodies Policy</w:t>
      </w:r>
    </w:p>
    <w:p w14:paraId="29AD0BFB" w14:textId="0E993898" w:rsidR="00DE2424" w:rsidRDefault="00DE2424" w:rsidP="00DE2424">
      <w:pPr>
        <w:spacing w:after="1036" w:line="259" w:lineRule="auto"/>
        <w:ind w:left="0" w:firstLine="0"/>
        <w:jc w:val="left"/>
      </w:pPr>
      <w:r>
        <w:rPr>
          <w:noProof/>
        </w:rPr>
        <w:drawing>
          <wp:anchor distT="0" distB="0" distL="114300" distR="114300" simplePos="0" relativeHeight="251659264" behindDoc="0" locked="0" layoutInCell="1" allowOverlap="1" wp14:anchorId="271CD11F" wp14:editId="36F0FFEA">
            <wp:simplePos x="0" y="0"/>
            <wp:positionH relativeFrom="margin">
              <wp:posOffset>1087717</wp:posOffset>
            </wp:positionH>
            <wp:positionV relativeFrom="margin">
              <wp:posOffset>1094218</wp:posOffset>
            </wp:positionV>
            <wp:extent cx="3723005" cy="1852930"/>
            <wp:effectExtent l="0" t="0" r="0" b="0"/>
            <wp:wrapSquare wrapText="bothSides"/>
            <wp:docPr id="1027" name="Picture 3" descr="A logo with a pin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A logo with a pink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3005" cy="185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074040" w14:textId="3E6D24CF" w:rsidR="00DE2424" w:rsidRDefault="00071B03" w:rsidP="00DE2424">
      <w:pPr>
        <w:jc w:val="center"/>
        <w:rPr>
          <w:sz w:val="72"/>
        </w:rPr>
      </w:pPr>
      <w:r>
        <w:rPr>
          <w:sz w:val="72"/>
        </w:rPr>
        <w:t xml:space="preserve"> </w:t>
      </w:r>
    </w:p>
    <w:p w14:paraId="42264584" w14:textId="263FCF7A" w:rsidR="00DE2424" w:rsidRPr="004E7119" w:rsidRDefault="00DE2424" w:rsidP="00DE2424">
      <w:pPr>
        <w:jc w:val="center"/>
        <w:rPr>
          <w:b/>
          <w:sz w:val="48"/>
          <w:szCs w:val="48"/>
        </w:rPr>
      </w:pPr>
      <w:r>
        <w:rPr>
          <w:b/>
          <w:sz w:val="48"/>
          <w:szCs w:val="48"/>
        </w:rPr>
        <w:t>NEWHAM</w:t>
      </w:r>
      <w:r w:rsidRPr="004E7119">
        <w:rPr>
          <w:b/>
          <w:sz w:val="48"/>
          <w:szCs w:val="48"/>
        </w:rPr>
        <w:t xml:space="preserve"> PENSION FUND</w:t>
      </w:r>
    </w:p>
    <w:p w14:paraId="74E4C89E" w14:textId="5145B830" w:rsidR="004F511F" w:rsidRDefault="00071B03" w:rsidP="00DE2424">
      <w:pPr>
        <w:spacing w:after="68" w:line="259" w:lineRule="auto"/>
        <w:ind w:left="0" w:firstLine="0"/>
        <w:jc w:val="left"/>
      </w:pPr>
      <w:r>
        <w:rPr>
          <w:b/>
          <w:color w:val="003399"/>
          <w:sz w:val="56"/>
        </w:rPr>
        <w:t xml:space="preserve"> </w:t>
      </w:r>
    </w:p>
    <w:p w14:paraId="07F13B74" w14:textId="77777777" w:rsidR="004F511F" w:rsidRDefault="00071B03">
      <w:pPr>
        <w:spacing w:after="0" w:line="259" w:lineRule="auto"/>
        <w:ind w:left="0" w:firstLine="0"/>
        <w:jc w:val="left"/>
      </w:pPr>
      <w:r>
        <w:rPr>
          <w:b/>
          <w:color w:val="003399"/>
          <w:sz w:val="56"/>
        </w:rPr>
        <w:t xml:space="preserve"> </w:t>
      </w:r>
    </w:p>
    <w:p w14:paraId="4C8293E7" w14:textId="77777777" w:rsidR="004F511F" w:rsidRDefault="00071B03">
      <w:pPr>
        <w:spacing w:after="0" w:line="259" w:lineRule="auto"/>
        <w:ind w:left="0" w:firstLine="0"/>
        <w:jc w:val="left"/>
      </w:pPr>
      <w:r>
        <w:rPr>
          <w:b/>
          <w:color w:val="003399"/>
          <w:sz w:val="56"/>
        </w:rPr>
        <w:t xml:space="preserve"> </w:t>
      </w:r>
    </w:p>
    <w:p w14:paraId="4870D8B0" w14:textId="77777777" w:rsidR="004F511F" w:rsidRDefault="00071B03">
      <w:pPr>
        <w:spacing w:after="1" w:line="259" w:lineRule="auto"/>
        <w:ind w:left="0" w:firstLine="0"/>
        <w:jc w:val="left"/>
      </w:pPr>
      <w:r>
        <w:rPr>
          <w:b/>
          <w:color w:val="003399"/>
          <w:sz w:val="56"/>
        </w:rPr>
        <w:t xml:space="preserve"> </w:t>
      </w:r>
    </w:p>
    <w:p w14:paraId="0BAA3264" w14:textId="50A012A7" w:rsidR="00DE2424" w:rsidRPr="004E7119" w:rsidRDefault="00DE2424" w:rsidP="00DE2424">
      <w:pPr>
        <w:jc w:val="center"/>
        <w:rPr>
          <w:b/>
          <w:sz w:val="48"/>
          <w:szCs w:val="48"/>
        </w:rPr>
      </w:pPr>
      <w:r>
        <w:rPr>
          <w:b/>
          <w:sz w:val="48"/>
          <w:szCs w:val="48"/>
        </w:rPr>
        <w:t>ADMISSION BODIES POLICY</w:t>
      </w:r>
    </w:p>
    <w:p w14:paraId="1B5BEB6A" w14:textId="77777777" w:rsidR="00DE2424" w:rsidRPr="004E7119" w:rsidRDefault="00DE2424" w:rsidP="00DE2424">
      <w:pPr>
        <w:jc w:val="center"/>
        <w:rPr>
          <w:b/>
          <w:sz w:val="48"/>
          <w:szCs w:val="48"/>
          <w:highlight w:val="yellow"/>
        </w:rPr>
      </w:pPr>
    </w:p>
    <w:p w14:paraId="3063071E" w14:textId="62BAA59E" w:rsidR="00DE2424" w:rsidRDefault="00DE2424" w:rsidP="00DE2424">
      <w:pPr>
        <w:jc w:val="center"/>
        <w:rPr>
          <w:b/>
          <w:sz w:val="48"/>
          <w:szCs w:val="48"/>
        </w:rPr>
      </w:pPr>
      <w:r>
        <w:rPr>
          <w:b/>
          <w:sz w:val="48"/>
          <w:szCs w:val="48"/>
        </w:rPr>
        <w:t xml:space="preserve">Effective from 1 </w:t>
      </w:r>
      <w:r w:rsidR="007F22A1">
        <w:rPr>
          <w:b/>
          <w:sz w:val="48"/>
          <w:szCs w:val="48"/>
        </w:rPr>
        <w:t>November</w:t>
      </w:r>
      <w:r>
        <w:rPr>
          <w:b/>
          <w:sz w:val="48"/>
          <w:szCs w:val="48"/>
        </w:rPr>
        <w:t xml:space="preserve"> 2025</w:t>
      </w:r>
    </w:p>
    <w:p w14:paraId="12F17B30" w14:textId="71586625" w:rsidR="004F511F" w:rsidRDefault="00071B03" w:rsidP="00333367">
      <w:pPr>
        <w:spacing w:after="215" w:line="259" w:lineRule="auto"/>
        <w:ind w:left="0" w:firstLine="0"/>
        <w:jc w:val="left"/>
      </w:pPr>
      <w:r>
        <w:t xml:space="preserve">   </w:t>
      </w:r>
    </w:p>
    <w:p w14:paraId="550F9CC1" w14:textId="77777777" w:rsidR="004F511F" w:rsidRDefault="00071B03">
      <w:pPr>
        <w:spacing w:after="215" w:line="259" w:lineRule="auto"/>
        <w:ind w:left="0" w:firstLine="0"/>
        <w:jc w:val="left"/>
      </w:pPr>
      <w:r>
        <w:t xml:space="preserve"> </w:t>
      </w:r>
    </w:p>
    <w:p w14:paraId="52FD7A6B" w14:textId="77777777" w:rsidR="004F511F" w:rsidRDefault="00071B03">
      <w:pPr>
        <w:spacing w:after="218" w:line="259" w:lineRule="auto"/>
        <w:ind w:left="0" w:firstLine="0"/>
        <w:jc w:val="left"/>
      </w:pPr>
      <w:r>
        <w:t xml:space="preserve"> </w:t>
      </w:r>
    </w:p>
    <w:p w14:paraId="614E40B2" w14:textId="77777777" w:rsidR="004F511F" w:rsidRDefault="00071B03">
      <w:pPr>
        <w:spacing w:after="215" w:line="259" w:lineRule="auto"/>
        <w:ind w:left="0" w:firstLine="0"/>
        <w:jc w:val="left"/>
      </w:pPr>
      <w:r>
        <w:t xml:space="preserve"> </w:t>
      </w:r>
    </w:p>
    <w:p w14:paraId="1214E71A" w14:textId="77777777" w:rsidR="004F511F" w:rsidRDefault="00071B03">
      <w:pPr>
        <w:spacing w:after="218" w:line="259" w:lineRule="auto"/>
        <w:ind w:left="0" w:firstLine="0"/>
        <w:jc w:val="left"/>
      </w:pPr>
      <w:r>
        <w:t xml:space="preserve"> </w:t>
      </w:r>
    </w:p>
    <w:p w14:paraId="46F27C47" w14:textId="77777777" w:rsidR="004F511F" w:rsidRDefault="00071B03">
      <w:pPr>
        <w:spacing w:after="215" w:line="259" w:lineRule="auto"/>
        <w:ind w:left="0" w:firstLine="0"/>
        <w:jc w:val="left"/>
      </w:pPr>
      <w:r>
        <w:t xml:space="preserve"> </w:t>
      </w:r>
    </w:p>
    <w:p w14:paraId="5F969399" w14:textId="77777777" w:rsidR="004F511F" w:rsidRDefault="00071B03">
      <w:pPr>
        <w:spacing w:after="218" w:line="259" w:lineRule="auto"/>
        <w:ind w:left="0" w:firstLine="0"/>
        <w:jc w:val="left"/>
      </w:pPr>
      <w:r>
        <w:t xml:space="preserve"> </w:t>
      </w:r>
    </w:p>
    <w:p w14:paraId="2EA92C53" w14:textId="77777777" w:rsidR="004F511F" w:rsidRDefault="00071B03">
      <w:pPr>
        <w:spacing w:after="215" w:line="259" w:lineRule="auto"/>
        <w:ind w:left="0" w:firstLine="0"/>
        <w:jc w:val="left"/>
      </w:pPr>
      <w:r>
        <w:t xml:space="preserve"> </w:t>
      </w:r>
    </w:p>
    <w:p w14:paraId="2B163A87" w14:textId="77777777" w:rsidR="004F511F" w:rsidRDefault="00071B03">
      <w:pPr>
        <w:spacing w:after="254" w:line="259" w:lineRule="auto"/>
        <w:ind w:left="0" w:firstLine="0"/>
        <w:jc w:val="left"/>
      </w:pPr>
      <w:r>
        <w:t xml:space="preserve"> </w:t>
      </w:r>
    </w:p>
    <w:p w14:paraId="626ABE08" w14:textId="77777777" w:rsidR="004F511F" w:rsidRDefault="00071B03">
      <w:pPr>
        <w:spacing w:after="4" w:line="259" w:lineRule="auto"/>
        <w:ind w:left="0" w:firstLine="0"/>
        <w:jc w:val="right"/>
      </w:pPr>
      <w:r>
        <w:rPr>
          <w:sz w:val="18"/>
        </w:rPr>
        <w:t xml:space="preserve">1 </w:t>
      </w:r>
    </w:p>
    <w:p w14:paraId="34091A8A" w14:textId="77777777" w:rsidR="004F511F" w:rsidRDefault="00071B03">
      <w:pPr>
        <w:spacing w:after="0" w:line="259" w:lineRule="auto"/>
        <w:ind w:left="0" w:firstLine="0"/>
        <w:jc w:val="left"/>
      </w:pPr>
      <w:r>
        <w:rPr>
          <w:sz w:val="20"/>
        </w:rPr>
        <w:t xml:space="preserve"> </w:t>
      </w:r>
    </w:p>
    <w:p w14:paraId="5C4BED9B" w14:textId="77777777" w:rsidR="004F511F" w:rsidRDefault="004F511F">
      <w:pPr>
        <w:sectPr w:rsidR="004F511F" w:rsidSect="002D00A5">
          <w:headerReference w:type="default" r:id="rId9"/>
          <w:footerReference w:type="even" r:id="rId10"/>
          <w:footerReference w:type="default" r:id="rId11"/>
          <w:footerReference w:type="first" r:id="rId12"/>
          <w:pgSz w:w="11906" w:h="16841"/>
          <w:pgMar w:top="1440" w:right="1681" w:bottom="1440" w:left="16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27493B8" w14:textId="08B2100C" w:rsidR="004F511F" w:rsidRDefault="00071B03" w:rsidP="00DE2424">
      <w:pPr>
        <w:pStyle w:val="Heading1"/>
        <w:numPr>
          <w:ilvl w:val="0"/>
          <w:numId w:val="24"/>
        </w:numPr>
        <w:rPr>
          <w:sz w:val="20"/>
        </w:rPr>
      </w:pPr>
      <w:bookmarkStart w:id="0" w:name="_Toc20500"/>
      <w:r>
        <w:lastRenderedPageBreak/>
        <w:t xml:space="preserve">Introduction </w:t>
      </w:r>
      <w:bookmarkEnd w:id="0"/>
      <w:r w:rsidR="007233A3">
        <w:t>and purpose</w:t>
      </w:r>
    </w:p>
    <w:p w14:paraId="2B6B192F" w14:textId="77777777" w:rsidR="007233A3" w:rsidRPr="007233A3" w:rsidRDefault="007233A3" w:rsidP="00DE2424"/>
    <w:p w14:paraId="0D1D94CE" w14:textId="523D424C" w:rsidR="008A6F69" w:rsidRDefault="008A6F69" w:rsidP="008A6F69">
      <w:pPr>
        <w:spacing w:after="203"/>
        <w:ind w:left="-3"/>
      </w:pPr>
      <w:r>
        <w:t xml:space="preserve">The London Borough of Newham Pension Fund (the Fund) is part of the Local Government Pension Scheme (LGPS) </w:t>
      </w:r>
      <w:r w:rsidR="006B7DF7">
        <w:t xml:space="preserve">maintained </w:t>
      </w:r>
      <w:r>
        <w:t xml:space="preserve">by </w:t>
      </w:r>
      <w:r w:rsidR="007233A3">
        <w:t>London Borough of Newham (LBN) a</w:t>
      </w:r>
      <w:r w:rsidR="00071B03">
        <w:t xml:space="preserve">s the Administering Authority. </w:t>
      </w:r>
      <w:r w:rsidR="001B06FC">
        <w:t xml:space="preserve">The principal employers in the Fund (LBN, academies </w:t>
      </w:r>
      <w:r w:rsidR="003B37A4">
        <w:t>and the college</w:t>
      </w:r>
      <w:r w:rsidR="001B06FC">
        <w:t xml:space="preserve">) are legally required to participate and admit their eligible </w:t>
      </w:r>
      <w:r w:rsidR="00333367">
        <w:t>employees</w:t>
      </w:r>
      <w:r w:rsidR="001B06FC">
        <w:t xml:space="preserve"> </w:t>
      </w:r>
      <w:r w:rsidR="00333367">
        <w:t xml:space="preserve">to the Fund </w:t>
      </w:r>
      <w:r w:rsidR="001B06FC">
        <w:t>under the LGPS Regulations</w:t>
      </w:r>
      <w:r w:rsidR="006B7DF7">
        <w:rPr>
          <w:rStyle w:val="FootnoteReference"/>
        </w:rPr>
        <w:footnoteReference w:id="1"/>
      </w:r>
      <w:r w:rsidR="001B06FC">
        <w:t>.  There are other employers, know</w:t>
      </w:r>
      <w:r w:rsidR="006B7DF7">
        <w:t>n</w:t>
      </w:r>
      <w:r w:rsidR="001B06FC">
        <w:t xml:space="preserve"> as “admission bodies” whose participation is confirmed through an admission agreement being entered into with the Administering Authority.  </w:t>
      </w:r>
    </w:p>
    <w:p w14:paraId="02B9E4F0" w14:textId="5708F14A" w:rsidR="008A6F69" w:rsidRDefault="008A6F69" w:rsidP="008A6F69">
      <w:pPr>
        <w:spacing w:after="203"/>
        <w:ind w:left="-3"/>
      </w:pPr>
      <w:r>
        <w:t xml:space="preserve">The purpose of this policy is to set out the principles of our approach to admitting and managing admission bodies. </w:t>
      </w:r>
    </w:p>
    <w:p w14:paraId="055C076B" w14:textId="3EB79BD3" w:rsidR="008A6F69" w:rsidRDefault="008A6F69" w:rsidP="008A6F69">
      <w:pPr>
        <w:spacing w:after="218"/>
        <w:ind w:left="-3"/>
      </w:pPr>
      <w:r>
        <w:t>There are two types of employers which may become an admission body in the Fund:</w:t>
      </w:r>
    </w:p>
    <w:p w14:paraId="64B0DD15" w14:textId="5E643182" w:rsidR="008A6F69" w:rsidRDefault="008A6F69" w:rsidP="00CE4279">
      <w:pPr>
        <w:pStyle w:val="ListParagraph"/>
        <w:spacing w:line="271" w:lineRule="auto"/>
        <w:ind w:left="714" w:hanging="357"/>
      </w:pPr>
      <w:r>
        <w:t xml:space="preserve">bodies providing services as a result of a transfer of services, as envisaged by Schedule 2, Part 3 1 (d) of the Regulations.  In this policy we refer to them as </w:t>
      </w:r>
      <w:r w:rsidRPr="005E4CD5">
        <w:rPr>
          <w:i/>
          <w:iCs/>
        </w:rPr>
        <w:t>transferee admission bodies</w:t>
      </w:r>
      <w:r>
        <w:t xml:space="preserve"> , and </w:t>
      </w:r>
    </w:p>
    <w:p w14:paraId="1AD99413" w14:textId="77777777" w:rsidR="008A6F69" w:rsidRDefault="008A6F69" w:rsidP="00F76060">
      <w:pPr>
        <w:pStyle w:val="ListParagraph"/>
        <w:numPr>
          <w:ilvl w:val="0"/>
          <w:numId w:val="0"/>
        </w:numPr>
        <w:spacing w:line="271" w:lineRule="auto"/>
        <w:ind w:left="714" w:hanging="357"/>
      </w:pPr>
    </w:p>
    <w:p w14:paraId="5A4C9606" w14:textId="36E1F2E6" w:rsidR="008A6F69" w:rsidRDefault="008A6F69" w:rsidP="00F76060">
      <w:pPr>
        <w:pStyle w:val="ListParagraph"/>
        <w:spacing w:line="271" w:lineRule="auto"/>
        <w:ind w:left="714" w:hanging="357"/>
      </w:pPr>
      <w:r>
        <w:t xml:space="preserve">non-profit bodies providing a public service which have a community of interest with a Scheme employer or otherwise meet the regulatory requirements for admission as described in Schedule 2, Part 3 1 (a), (b), (c) and (e) of the Regulations. In this policy we refer to them as </w:t>
      </w:r>
      <w:r w:rsidRPr="005E4CD5">
        <w:rPr>
          <w:i/>
          <w:iCs/>
        </w:rPr>
        <w:t>community admission bodies</w:t>
      </w:r>
      <w:r>
        <w:t xml:space="preserve">. </w:t>
      </w:r>
    </w:p>
    <w:p w14:paraId="6B2B93D2" w14:textId="77777777" w:rsidR="008A6F69" w:rsidRDefault="008A6F69">
      <w:pPr>
        <w:spacing w:after="203"/>
        <w:ind w:left="-3"/>
      </w:pPr>
    </w:p>
    <w:p w14:paraId="61F0EA2F" w14:textId="266AFF59" w:rsidR="004F511F" w:rsidRDefault="00071B03">
      <w:pPr>
        <w:spacing w:after="201"/>
        <w:ind w:left="-3"/>
      </w:pPr>
      <w:r>
        <w:t xml:space="preserve">This policy should be read in conjunction with the Fund’s Funding Strategy Statement and Employer Admission </w:t>
      </w:r>
      <w:r w:rsidR="006B7DF7">
        <w:t>Process note</w:t>
      </w:r>
      <w:r w:rsidR="00B46868">
        <w:t>.</w:t>
      </w:r>
    </w:p>
    <w:p w14:paraId="71D2BE57" w14:textId="77777777" w:rsidR="00B46868" w:rsidRDefault="00B46868">
      <w:pPr>
        <w:spacing w:after="201"/>
        <w:ind w:left="-3"/>
      </w:pPr>
    </w:p>
    <w:p w14:paraId="5B947F99" w14:textId="7C718360" w:rsidR="007E485D" w:rsidRDefault="007E485D" w:rsidP="007E485D">
      <w:pPr>
        <w:pStyle w:val="Heading1"/>
        <w:numPr>
          <w:ilvl w:val="0"/>
          <w:numId w:val="24"/>
        </w:numPr>
      </w:pPr>
      <w:r>
        <w:t xml:space="preserve">Which employers may be admitted? </w:t>
      </w:r>
    </w:p>
    <w:p w14:paraId="0A9DC7F5" w14:textId="1DABE3C5" w:rsidR="004F511F" w:rsidRDefault="004F511F" w:rsidP="00453144">
      <w:pPr>
        <w:spacing w:after="31" w:line="259" w:lineRule="auto"/>
        <w:ind w:left="1" w:firstLine="0"/>
        <w:jc w:val="left"/>
      </w:pPr>
    </w:p>
    <w:p w14:paraId="620CC73C" w14:textId="65301F39" w:rsidR="004F511F" w:rsidRDefault="0018580E" w:rsidP="00453144">
      <w:pPr>
        <w:pStyle w:val="Heading2"/>
      </w:pPr>
      <w:r>
        <w:t xml:space="preserve">2.1 </w:t>
      </w:r>
      <w:r w:rsidR="001B06FC">
        <w:t xml:space="preserve">Our </w:t>
      </w:r>
      <w:r w:rsidR="00071B03">
        <w:t xml:space="preserve">Policy </w:t>
      </w:r>
    </w:p>
    <w:p w14:paraId="1F4442B5" w14:textId="30F4AD2A" w:rsidR="004F511F" w:rsidRDefault="00071B03">
      <w:pPr>
        <w:spacing w:after="215"/>
        <w:ind w:left="-3"/>
      </w:pPr>
      <w:r>
        <w:t>W</w:t>
      </w:r>
      <w:r w:rsidR="00333367">
        <w:t xml:space="preserve">e will only admit employers which meet </w:t>
      </w:r>
      <w:r>
        <w:t xml:space="preserve">the requirements </w:t>
      </w:r>
      <w:r w:rsidR="00333367">
        <w:t xml:space="preserve">of </w:t>
      </w:r>
      <w:r>
        <w:t>the LGPS Regulations</w:t>
      </w:r>
      <w:r w:rsidR="00333367">
        <w:t>, and th</w:t>
      </w:r>
      <w:r w:rsidR="00107F40">
        <w:t>e security/risk mitigation requirements of th</w:t>
      </w:r>
      <w:r w:rsidR="00333367">
        <w:t xml:space="preserve">is </w:t>
      </w:r>
      <w:r>
        <w:t>policy</w:t>
      </w:r>
      <w:r w:rsidR="00333367">
        <w:t>.  This means we will accept applications</w:t>
      </w:r>
      <w:r w:rsidR="006B7DF7">
        <w:t xml:space="preserve"> from:</w:t>
      </w:r>
    </w:p>
    <w:p w14:paraId="0873800A" w14:textId="6CED1732" w:rsidR="005E4CD5" w:rsidRDefault="005E4CD5" w:rsidP="005E4CD5">
      <w:pPr>
        <w:pStyle w:val="ListParagraph"/>
        <w:spacing w:line="271" w:lineRule="auto"/>
        <w:ind w:left="714" w:hanging="357"/>
      </w:pPr>
      <w:r>
        <w:t>transferee admission bodies</w:t>
      </w:r>
      <w:r w:rsidR="00B46868">
        <w:t xml:space="preserve"> (TAB)</w:t>
      </w:r>
      <w:r>
        <w:t xml:space="preserve"> that satisfy the security and other requirements of the Regulations.</w:t>
      </w:r>
    </w:p>
    <w:p w14:paraId="62A98E23" w14:textId="77777777" w:rsidR="00B46868" w:rsidRDefault="00B46868" w:rsidP="00B46868">
      <w:pPr>
        <w:pStyle w:val="ListParagraph"/>
        <w:numPr>
          <w:ilvl w:val="0"/>
          <w:numId w:val="0"/>
        </w:numPr>
        <w:spacing w:line="271" w:lineRule="auto"/>
        <w:ind w:left="714"/>
      </w:pPr>
    </w:p>
    <w:p w14:paraId="2B0D2606" w14:textId="77777777" w:rsidR="00B46868" w:rsidRDefault="00B46868" w:rsidP="00B46868">
      <w:pPr>
        <w:pStyle w:val="Heading2"/>
        <w:spacing w:after="0"/>
        <w:rPr>
          <w:color w:val="000000"/>
        </w:rPr>
      </w:pPr>
      <w:bookmarkStart w:id="1" w:name="_Toc20504"/>
      <w:r w:rsidRPr="00B46868">
        <w:rPr>
          <w:color w:val="000000"/>
        </w:rPr>
        <w:lastRenderedPageBreak/>
        <w:t>•</w:t>
      </w:r>
      <w:r w:rsidRPr="00B46868">
        <w:rPr>
          <w:color w:val="000000"/>
        </w:rPr>
        <w:tab/>
        <w:t xml:space="preserve">community admission bodies which provide services linked to one of the scheme employers in the Fund (or other similar bodies such as section 75 NHS partnerships) </w:t>
      </w:r>
      <w:proofErr w:type="gramStart"/>
      <w:r w:rsidRPr="00B46868">
        <w:rPr>
          <w:color w:val="000000"/>
        </w:rPr>
        <w:t>where</w:t>
      </w:r>
      <w:proofErr w:type="gramEnd"/>
    </w:p>
    <w:p w14:paraId="1CFF6193" w14:textId="3F2FF4E8" w:rsidR="005E4CD5" w:rsidRDefault="00B46868" w:rsidP="00B46868">
      <w:pPr>
        <w:pStyle w:val="Heading2"/>
        <w:spacing w:after="0"/>
        <w:rPr>
          <w:color w:val="000000"/>
        </w:rPr>
      </w:pPr>
      <w:r w:rsidRPr="00B46868">
        <w:rPr>
          <w:color w:val="000000"/>
        </w:rPr>
        <w:t>-</w:t>
      </w:r>
      <w:r w:rsidRPr="00B46868">
        <w:rPr>
          <w:color w:val="000000"/>
        </w:rPr>
        <w:tab/>
        <w:t>such an arrangement is beneficial to the relevant scheme employer or similar body</w:t>
      </w:r>
    </w:p>
    <w:p w14:paraId="2DD33DA0" w14:textId="77777777" w:rsidR="00B46868" w:rsidRPr="00B46868" w:rsidRDefault="00B46868" w:rsidP="00B46868"/>
    <w:p w14:paraId="689A267C" w14:textId="74347F2A" w:rsidR="00A4138D" w:rsidRDefault="00A4138D" w:rsidP="00A4138D">
      <w:pPr>
        <w:pStyle w:val="Heading2"/>
      </w:pPr>
      <w:r>
        <w:t xml:space="preserve">2.2 Approval process </w:t>
      </w:r>
    </w:p>
    <w:p w14:paraId="5627E220" w14:textId="2713C6A5" w:rsidR="00B46868" w:rsidRPr="00B46868" w:rsidRDefault="00B52190" w:rsidP="00B46868">
      <w:pPr>
        <w:pStyle w:val="Heading2"/>
        <w:rPr>
          <w:color w:val="000000"/>
        </w:rPr>
      </w:pPr>
      <w:r>
        <w:rPr>
          <w:color w:val="000000"/>
        </w:rPr>
        <w:t>The Section 151 Fund officer</w:t>
      </w:r>
      <w:r w:rsidR="00B46868" w:rsidRPr="00B46868">
        <w:rPr>
          <w:color w:val="000000"/>
        </w:rPr>
        <w:t xml:space="preserve"> will be responsible for ensuring potential admission bodies meet the criteria set out above, having regard to the appropriate legal and actuarial advice.  </w:t>
      </w:r>
    </w:p>
    <w:p w14:paraId="531ADC16" w14:textId="0F465C16" w:rsidR="00B46868" w:rsidRPr="00B46868" w:rsidRDefault="00B46868" w:rsidP="00B46868">
      <w:pPr>
        <w:pStyle w:val="Heading2"/>
        <w:rPr>
          <w:color w:val="000000"/>
        </w:rPr>
      </w:pPr>
      <w:r w:rsidRPr="00B46868">
        <w:rPr>
          <w:color w:val="000000"/>
        </w:rPr>
        <w:t xml:space="preserve">The Fund’s admission agreements will generally be standard and non-negotiable, drawn up on advice from the Fund actuary and legal advisor. Their terms will include the provisions required by the LGPS Regulations as well as </w:t>
      </w:r>
      <w:r w:rsidR="00B52190">
        <w:rPr>
          <w:color w:val="000000"/>
        </w:rPr>
        <w:t xml:space="preserve">details of risk sharing Pass-Through arrangement, or </w:t>
      </w:r>
      <w:r w:rsidRPr="00B46868">
        <w:rPr>
          <w:color w:val="000000"/>
        </w:rPr>
        <w:t xml:space="preserve">bond/indemnity or guarantor requirements (if relevant) to protect other employers in the Fund. </w:t>
      </w:r>
    </w:p>
    <w:p w14:paraId="487A1880" w14:textId="77777777" w:rsidR="00B46868" w:rsidRPr="00B46868" w:rsidRDefault="00B46868" w:rsidP="00B46868">
      <w:pPr>
        <w:pStyle w:val="Heading2"/>
        <w:rPr>
          <w:color w:val="000000"/>
        </w:rPr>
      </w:pPr>
      <w:r w:rsidRPr="00B46868">
        <w:rPr>
          <w:color w:val="000000"/>
        </w:rPr>
        <w:t xml:space="preserve">All applications will be acceptable if the Section 151 officer is satisfied the above criteria are met, the standard terms of the admission agreement are accepted and, where relevant, an indemnity or bond in an agreed form is put in place.  All applications meeting these criteria will be reported to the Pensions Committee for information. </w:t>
      </w:r>
    </w:p>
    <w:p w14:paraId="72A9ECFD" w14:textId="0F0ABE8B" w:rsidR="0018580E" w:rsidRDefault="00B46868" w:rsidP="00B46868">
      <w:pPr>
        <w:pStyle w:val="Heading2"/>
      </w:pPr>
      <w:r w:rsidRPr="00B46868">
        <w:rPr>
          <w:color w:val="000000"/>
        </w:rPr>
        <w:t xml:space="preserve">Any applications departing materially from these criteria and/or the standard terms of the admission agreement will be considered by the Section 151 officer on a case by case basis, and the decision reported to the Pensions Committee for information.   </w:t>
      </w:r>
    </w:p>
    <w:p w14:paraId="6A34CAB5" w14:textId="3584B4FD" w:rsidR="00107F40" w:rsidRDefault="005F7692" w:rsidP="007E485D">
      <w:pPr>
        <w:pStyle w:val="Heading1"/>
        <w:numPr>
          <w:ilvl w:val="0"/>
          <w:numId w:val="24"/>
        </w:numPr>
      </w:pPr>
      <w:r>
        <w:t xml:space="preserve">How </w:t>
      </w:r>
      <w:r w:rsidR="007E485D">
        <w:t xml:space="preserve">are </w:t>
      </w:r>
      <w:r>
        <w:t xml:space="preserve">employer </w:t>
      </w:r>
      <w:r w:rsidR="00A4138D">
        <w:t>contributions</w:t>
      </w:r>
      <w:r>
        <w:t xml:space="preserve"> set</w:t>
      </w:r>
      <w:r w:rsidR="007E485D">
        <w:t>?</w:t>
      </w:r>
    </w:p>
    <w:p w14:paraId="743AC6B7" w14:textId="77777777" w:rsidR="007E485D" w:rsidRPr="007E485D" w:rsidRDefault="007E485D" w:rsidP="007E485D">
      <w:pPr>
        <w:ind w:left="-14" w:firstLine="0"/>
      </w:pPr>
    </w:p>
    <w:p w14:paraId="1D647CD3" w14:textId="77777777" w:rsidR="00B46868" w:rsidRDefault="00B46868" w:rsidP="00B46868">
      <w:r>
        <w:t>In order to streamline both the admissions process and the ongoing administration associated with admission bodies in the Fund, we operate a default approach to how contributions are set for admission bodies and how funding risks are addressed. This is as follows:</w:t>
      </w:r>
    </w:p>
    <w:p w14:paraId="33155E94" w14:textId="77777777" w:rsidR="00B46868" w:rsidRDefault="00B46868" w:rsidP="00B46868"/>
    <w:p w14:paraId="55DA28E2" w14:textId="77777777" w:rsidR="00B46868" w:rsidRDefault="00B46868" w:rsidP="00B46868">
      <w:pPr>
        <w:pStyle w:val="Heading2"/>
        <w:ind w:left="0" w:firstLine="0"/>
      </w:pPr>
      <w:r>
        <w:t>3.1 Transferee admission bodies</w:t>
      </w:r>
    </w:p>
    <w:p w14:paraId="2D5F4D21" w14:textId="77777777" w:rsidR="00B46868" w:rsidRDefault="00B46868" w:rsidP="00B46868">
      <w:pPr>
        <w:pStyle w:val="Heading3"/>
      </w:pPr>
      <w:r>
        <w:t>3.1.1 Default pass-through</w:t>
      </w:r>
    </w:p>
    <w:p w14:paraId="3C1EBB76" w14:textId="77777777" w:rsidR="00B46868" w:rsidRDefault="00B46868" w:rsidP="00B46868">
      <w:pPr>
        <w:pStyle w:val="ListParagraph"/>
        <w:numPr>
          <w:ilvl w:val="0"/>
          <w:numId w:val="33"/>
        </w:numPr>
        <w:spacing w:line="268" w:lineRule="auto"/>
        <w:ind w:left="714" w:hanging="357"/>
      </w:pPr>
      <w:r>
        <w:t xml:space="preserve">contributions for transferee admission bodies following an outsourcing by an academy or school will be on a </w:t>
      </w:r>
      <w:r>
        <w:rPr>
          <w:i/>
          <w:iCs/>
        </w:rPr>
        <w:t>pass-through</w:t>
      </w:r>
      <w:r>
        <w:t xml:space="preserve"> basis. This means the contribution rate will be set equal to the rate payable by the letting authority when the admission commences.  It also means that there will be no separate tracking of liabilities or notional assets for the admission body.</w:t>
      </w:r>
    </w:p>
    <w:p w14:paraId="020A7ADB" w14:textId="77777777" w:rsidR="00B46868" w:rsidRDefault="00B46868" w:rsidP="00B46868">
      <w:pPr>
        <w:pStyle w:val="ListParagraph"/>
        <w:numPr>
          <w:ilvl w:val="0"/>
          <w:numId w:val="0"/>
        </w:numPr>
        <w:ind w:left="714"/>
      </w:pPr>
    </w:p>
    <w:p w14:paraId="6717E6FE" w14:textId="77777777" w:rsidR="00B46868" w:rsidRDefault="00B46868" w:rsidP="00B46868">
      <w:pPr>
        <w:pStyle w:val="ListParagraph"/>
        <w:numPr>
          <w:ilvl w:val="0"/>
          <w:numId w:val="33"/>
        </w:numPr>
        <w:spacing w:line="268" w:lineRule="auto"/>
        <w:ind w:left="714" w:hanging="357"/>
      </w:pPr>
      <w:r>
        <w:t xml:space="preserve">contributions will be reviewed whenever they are reviewed for the letting authority, as part of each triennial actuarial valuation or more frequently as </w:t>
      </w:r>
      <w:r>
        <w:lastRenderedPageBreak/>
        <w:t>permitted by our Funding Strategy Statement/policy on employer contribution reviews</w:t>
      </w:r>
    </w:p>
    <w:p w14:paraId="1B058A66" w14:textId="77777777" w:rsidR="00B46868" w:rsidRDefault="00B46868" w:rsidP="00B46868">
      <w:pPr>
        <w:pStyle w:val="ListParagraph"/>
        <w:numPr>
          <w:ilvl w:val="0"/>
          <w:numId w:val="0"/>
        </w:numPr>
        <w:ind w:left="714"/>
      </w:pPr>
    </w:p>
    <w:p w14:paraId="3E9B39A8" w14:textId="77777777" w:rsidR="00B46868" w:rsidRDefault="00B46868" w:rsidP="00B46868">
      <w:pPr>
        <w:pStyle w:val="ListParagraph"/>
        <w:numPr>
          <w:ilvl w:val="0"/>
          <w:numId w:val="33"/>
        </w:numPr>
        <w:spacing w:line="268" w:lineRule="auto"/>
        <w:ind w:left="714" w:hanging="357"/>
      </w:pPr>
      <w:r>
        <w:t xml:space="preserve">funding risks will be shared between the letting authority and the admission body, as set out in the admission agreement. Costs relating to decisions to award additional benefits or early retirement decisions which are deemed to be under the control of the admission body, will not be shared. </w:t>
      </w:r>
    </w:p>
    <w:p w14:paraId="63FFAA43" w14:textId="77777777" w:rsidR="00B46868" w:rsidRDefault="00B46868" w:rsidP="00B46868">
      <w:pPr>
        <w:pStyle w:val="ListParagraph"/>
        <w:numPr>
          <w:ilvl w:val="0"/>
          <w:numId w:val="0"/>
        </w:numPr>
        <w:ind w:left="714"/>
      </w:pPr>
    </w:p>
    <w:p w14:paraId="6233AA13" w14:textId="4CAF4698" w:rsidR="00B46868" w:rsidRDefault="00B46868" w:rsidP="00B46868">
      <w:pPr>
        <w:pStyle w:val="ListParagraph"/>
        <w:numPr>
          <w:ilvl w:val="0"/>
          <w:numId w:val="33"/>
        </w:numPr>
        <w:spacing w:line="268" w:lineRule="auto"/>
        <w:ind w:left="714" w:hanging="357"/>
      </w:pPr>
      <w:r>
        <w:t>whilst an exit valuation will be carried out when the admission ceases as required by the LGPS Regulations, no exit payment or exit credit will be due from or</w:t>
      </w:r>
      <w:r w:rsidR="00AA6BC4">
        <w:t xml:space="preserve"> to the admission body </w:t>
      </w:r>
      <w:r w:rsidR="00C96CE5">
        <w:t>other than the elements of the risk share that is outlined in the admission agreement that is deemed the control of the Employer.</w:t>
      </w:r>
    </w:p>
    <w:p w14:paraId="73107DA8" w14:textId="77777777" w:rsidR="00B46868" w:rsidRDefault="00B46868" w:rsidP="00B46868"/>
    <w:p w14:paraId="5AB17F4E" w14:textId="77777777" w:rsidR="00B46868" w:rsidRDefault="00B46868" w:rsidP="00B46868">
      <w:pPr>
        <w:pStyle w:val="Heading3"/>
      </w:pPr>
      <w:r>
        <w:t>3.1.2 Other arrangements</w:t>
      </w:r>
    </w:p>
    <w:p w14:paraId="666DB51E" w14:textId="77777777" w:rsidR="00B46868" w:rsidRDefault="00B46868" w:rsidP="00B46868">
      <w:pPr>
        <w:pStyle w:val="ListParagraph"/>
        <w:numPr>
          <w:ilvl w:val="0"/>
          <w:numId w:val="33"/>
        </w:numPr>
        <w:spacing w:line="268" w:lineRule="auto"/>
        <w:ind w:left="714" w:hanging="357"/>
      </w:pPr>
      <w:r>
        <w:t>where pass-through does not apply, contributions for transferee admission bodies will initially be set on an individual basis, allowing for their membership characteristics and the (notional) transfer of assets within the Fund from the letting authority to the admission body where transferring staff have prior membership of the Fund</w:t>
      </w:r>
    </w:p>
    <w:p w14:paraId="19CA1B50" w14:textId="77777777" w:rsidR="00B46868" w:rsidRDefault="00B46868" w:rsidP="00B46868">
      <w:pPr>
        <w:pStyle w:val="ListParagraph"/>
        <w:numPr>
          <w:ilvl w:val="0"/>
          <w:numId w:val="0"/>
        </w:numPr>
        <w:ind w:left="714"/>
      </w:pPr>
    </w:p>
    <w:p w14:paraId="7986969D" w14:textId="77777777" w:rsidR="00B46868" w:rsidRDefault="00B46868" w:rsidP="00B46868">
      <w:pPr>
        <w:pStyle w:val="ListParagraph"/>
        <w:numPr>
          <w:ilvl w:val="0"/>
          <w:numId w:val="33"/>
        </w:numPr>
        <w:spacing w:line="268" w:lineRule="auto"/>
        <w:ind w:left="714" w:hanging="357"/>
      </w:pPr>
      <w:r>
        <w:t>contributions will be reviewed as part of each triennial actuarial valuation or more frequently as permitted by our Funding Strategy Statement/policy on employer contribution reviews</w:t>
      </w:r>
    </w:p>
    <w:p w14:paraId="3B4CFAF9" w14:textId="77777777" w:rsidR="00B46868" w:rsidRDefault="00B46868" w:rsidP="00B46868">
      <w:pPr>
        <w:pStyle w:val="ListParagraph"/>
        <w:numPr>
          <w:ilvl w:val="0"/>
          <w:numId w:val="0"/>
        </w:numPr>
        <w:ind w:left="357"/>
      </w:pPr>
    </w:p>
    <w:p w14:paraId="1344F8B4" w14:textId="77777777" w:rsidR="00B46868" w:rsidRDefault="00B46868" w:rsidP="00B46868">
      <w:pPr>
        <w:pStyle w:val="ListParagraph"/>
        <w:numPr>
          <w:ilvl w:val="0"/>
          <w:numId w:val="33"/>
        </w:numPr>
        <w:spacing w:line="268" w:lineRule="auto"/>
        <w:ind w:left="714" w:hanging="357"/>
      </w:pPr>
      <w:r>
        <w:t>unless otherwise agreed and set out in the admission agreement, the admission body will be assumed to be responsible for all funding risks during its participation, i.e. any increase/decrease in the liabilities (which may be due to membership changes or inflation/pay growth more or less than the Actuary's assumptions etc) and increase/decrease in the value of assets notionally allocated to meet those liabilities (e.g. due to higher or lower investment returns than allowed for by the Actuary)</w:t>
      </w:r>
    </w:p>
    <w:p w14:paraId="5805C77D" w14:textId="77777777" w:rsidR="00B46868" w:rsidRDefault="00B46868" w:rsidP="00B46868">
      <w:pPr>
        <w:pStyle w:val="ListParagraph"/>
        <w:numPr>
          <w:ilvl w:val="0"/>
          <w:numId w:val="0"/>
        </w:numPr>
        <w:ind w:left="357"/>
      </w:pPr>
    </w:p>
    <w:p w14:paraId="70C2E5CB" w14:textId="77777777" w:rsidR="00B46868" w:rsidRDefault="00B46868" w:rsidP="00B46868">
      <w:pPr>
        <w:pStyle w:val="ListParagraph"/>
        <w:numPr>
          <w:ilvl w:val="0"/>
          <w:numId w:val="33"/>
        </w:numPr>
        <w:spacing w:line="268" w:lineRule="auto"/>
        <w:ind w:left="714" w:hanging="357"/>
      </w:pPr>
      <w:r>
        <w:t>a final contribution will be calculated when the admission terminates and an exit payment or exit credit determined in line with our Funding Strategy Statement/ policy on employer exits (including exit credits).</w:t>
      </w:r>
    </w:p>
    <w:p w14:paraId="7FF67F59" w14:textId="77777777" w:rsidR="00B46868" w:rsidRDefault="00B46868" w:rsidP="00B46868"/>
    <w:p w14:paraId="2E807B09" w14:textId="77777777" w:rsidR="00B46868" w:rsidRDefault="00B46868" w:rsidP="00B46868">
      <w:pPr>
        <w:pStyle w:val="Heading2"/>
      </w:pPr>
      <w:r>
        <w:t>3.2 Community admission bodies</w:t>
      </w:r>
    </w:p>
    <w:p w14:paraId="11FCCBEF" w14:textId="77777777" w:rsidR="00B46868" w:rsidRDefault="00B46868" w:rsidP="00B46868">
      <w:pPr>
        <w:pStyle w:val="ListParagraph"/>
        <w:numPr>
          <w:ilvl w:val="0"/>
          <w:numId w:val="33"/>
        </w:numPr>
        <w:spacing w:line="268" w:lineRule="auto"/>
        <w:ind w:left="714" w:hanging="357"/>
      </w:pPr>
      <w:r>
        <w:t>contributions for community admission bodies will initially be set on an individual basis, allowing for their membership characteristics and the (notional) transfer of assets within the Fund from the previous employer to the admission body where transferring staff have prior membership of the Fund</w:t>
      </w:r>
    </w:p>
    <w:p w14:paraId="2A284420" w14:textId="77777777" w:rsidR="00B46868" w:rsidRDefault="00B46868" w:rsidP="00B46868">
      <w:pPr>
        <w:pStyle w:val="ListParagraph"/>
        <w:numPr>
          <w:ilvl w:val="0"/>
          <w:numId w:val="0"/>
        </w:numPr>
        <w:ind w:left="714"/>
      </w:pPr>
    </w:p>
    <w:p w14:paraId="65CA5138" w14:textId="77777777" w:rsidR="00B46868" w:rsidRDefault="00B46868" w:rsidP="00B46868">
      <w:pPr>
        <w:pStyle w:val="ListParagraph"/>
        <w:numPr>
          <w:ilvl w:val="0"/>
          <w:numId w:val="33"/>
        </w:numPr>
        <w:spacing w:line="268" w:lineRule="auto"/>
        <w:ind w:left="714" w:hanging="357"/>
      </w:pPr>
      <w:r>
        <w:lastRenderedPageBreak/>
        <w:t>contributions will be reviewed as part of each triennial actuarial valuation or more frequently as permitted by our Funding Strategy Statement/policy on employer contribution reviews</w:t>
      </w:r>
    </w:p>
    <w:p w14:paraId="1D9ACA21" w14:textId="77777777" w:rsidR="00B46868" w:rsidRDefault="00B46868" w:rsidP="00B46868">
      <w:pPr>
        <w:pStyle w:val="ListParagraph"/>
        <w:numPr>
          <w:ilvl w:val="0"/>
          <w:numId w:val="0"/>
        </w:numPr>
        <w:ind w:left="714"/>
      </w:pPr>
    </w:p>
    <w:p w14:paraId="56492655" w14:textId="77777777" w:rsidR="00B46868" w:rsidRDefault="00B46868" w:rsidP="00B46868">
      <w:pPr>
        <w:pStyle w:val="ListParagraph"/>
        <w:numPr>
          <w:ilvl w:val="0"/>
          <w:numId w:val="33"/>
        </w:numPr>
        <w:spacing w:line="268" w:lineRule="auto"/>
        <w:ind w:left="714" w:hanging="357"/>
      </w:pPr>
      <w:r>
        <w:t>the admission body will be assumed to be responsible for all funding risks during its participation, i.e. any increase/decrease in the liabilities (which may be due to membership changes or inflation/pay growth more or less than the Actuary’s assumptions etc) and increase/decrease in the value of assets notionally allocated to meet those liabilities (e.g. due to higher or lower investment returns than allowed for by the Actuary)</w:t>
      </w:r>
    </w:p>
    <w:p w14:paraId="4F507C9F" w14:textId="77777777" w:rsidR="00B46868" w:rsidRDefault="00B46868" w:rsidP="00B46868">
      <w:pPr>
        <w:pStyle w:val="ListParagraph"/>
        <w:numPr>
          <w:ilvl w:val="0"/>
          <w:numId w:val="0"/>
        </w:numPr>
        <w:ind w:left="714"/>
      </w:pPr>
    </w:p>
    <w:p w14:paraId="5DC9AF42" w14:textId="77777777" w:rsidR="00B46868" w:rsidRDefault="00B46868" w:rsidP="00B46868">
      <w:pPr>
        <w:pStyle w:val="ListParagraph"/>
        <w:numPr>
          <w:ilvl w:val="0"/>
          <w:numId w:val="33"/>
        </w:numPr>
        <w:spacing w:line="268" w:lineRule="auto"/>
        <w:ind w:left="714" w:hanging="357"/>
      </w:pPr>
      <w:r>
        <w:t>a final contribution will be calculated when the admission terminates and an exit payment or exit credit determined in line with our Funding Strategy Statement/ Employer Exit Policy.</w:t>
      </w:r>
    </w:p>
    <w:p w14:paraId="2566D438" w14:textId="348D1994" w:rsidR="005F7692" w:rsidRDefault="005F7692" w:rsidP="00B46868"/>
    <w:p w14:paraId="6BC18A10" w14:textId="00627FC9" w:rsidR="005F7692" w:rsidRDefault="00115FCA" w:rsidP="00115FCA">
      <w:pPr>
        <w:pStyle w:val="Heading3"/>
        <w:ind w:firstLine="346"/>
      </w:pPr>
      <w:r>
        <w:t>Risk sharing</w:t>
      </w:r>
    </w:p>
    <w:p w14:paraId="7A7AB9D8" w14:textId="5328730D" w:rsidR="007E485D" w:rsidRDefault="005F7692" w:rsidP="00115FCA">
      <w:pPr>
        <w:spacing w:after="200" w:line="271" w:lineRule="auto"/>
        <w:ind w:left="368" w:hanging="11"/>
      </w:pPr>
      <w:r>
        <w:t>Other than where the default pass-through approach applies</w:t>
      </w:r>
      <w:r w:rsidR="00957A87">
        <w:t>,</w:t>
      </w:r>
      <w:r>
        <w:t xml:space="preserve"> the Fund will not normally be party to any risk sharing agreement between the letting authority and the admission body/contractor.  It will be for the letting authority and the admission body to put in place a separate legal agreement to allow the risk sharing to be implemented</w:t>
      </w:r>
      <w:r w:rsidR="007E485D">
        <w:t xml:space="preserve"> outside of the Fund</w:t>
      </w:r>
      <w:r>
        <w:t xml:space="preserve"> (e.g. via the contract payments). Accordingly, the </w:t>
      </w:r>
      <w:r w:rsidR="007E485D">
        <w:t xml:space="preserve">admission body </w:t>
      </w:r>
      <w:r>
        <w:t xml:space="preserve">will be required to pay the certified employer contribution rate to the Fund and any other contributions required (e.g. early retirement strain costs), regardless of risk sharing arrangement in place. </w:t>
      </w:r>
    </w:p>
    <w:p w14:paraId="71192BE0" w14:textId="78329430" w:rsidR="005F7692" w:rsidRDefault="005F7692" w:rsidP="00115FCA">
      <w:pPr>
        <w:spacing w:after="200" w:line="271" w:lineRule="auto"/>
        <w:ind w:left="368" w:hanging="11"/>
      </w:pPr>
      <w:r>
        <w:t xml:space="preserve">The only exception </w:t>
      </w:r>
      <w:r w:rsidR="007E485D">
        <w:t xml:space="preserve">is </w:t>
      </w:r>
      <w:r>
        <w:t xml:space="preserve">that the Fund will be willing to accept payment of any exit payment on termination from the </w:t>
      </w:r>
      <w:r w:rsidR="00957A87">
        <w:t>letting authority</w:t>
      </w:r>
      <w:r>
        <w:t xml:space="preserve"> rather than the exiting employer</w:t>
      </w:r>
      <w:r w:rsidR="007E485D">
        <w:t>.</w:t>
      </w:r>
      <w:r>
        <w:t xml:space="preserve"> </w:t>
      </w:r>
    </w:p>
    <w:p w14:paraId="2BA148AE" w14:textId="77777777" w:rsidR="005F7692" w:rsidRPr="00107F40" w:rsidRDefault="005F7692" w:rsidP="00107F40"/>
    <w:p w14:paraId="51A195DD" w14:textId="2E341507" w:rsidR="004F511F" w:rsidRDefault="000E2077" w:rsidP="000E2077">
      <w:pPr>
        <w:pStyle w:val="Heading1"/>
        <w:numPr>
          <w:ilvl w:val="0"/>
          <w:numId w:val="24"/>
        </w:numPr>
      </w:pPr>
      <w:r>
        <w:t xml:space="preserve">What security arrangements apply? </w:t>
      </w:r>
      <w:bookmarkEnd w:id="1"/>
    </w:p>
    <w:p w14:paraId="3EFF1C46" w14:textId="77777777" w:rsidR="004F511F" w:rsidRDefault="00071B03">
      <w:pPr>
        <w:spacing w:after="0" w:line="259" w:lineRule="auto"/>
        <w:ind w:left="1" w:firstLine="0"/>
        <w:jc w:val="left"/>
      </w:pPr>
      <w:r>
        <w:rPr>
          <w:sz w:val="20"/>
        </w:rPr>
        <w:t xml:space="preserve"> </w:t>
      </w:r>
    </w:p>
    <w:p w14:paraId="13462EC4" w14:textId="77777777" w:rsidR="000E2077" w:rsidRDefault="000E2077" w:rsidP="000E2077">
      <w:pPr>
        <w:pStyle w:val="Heading2"/>
      </w:pPr>
      <w:r>
        <w:t>4.1 Regulatory requirements</w:t>
      </w:r>
    </w:p>
    <w:p w14:paraId="59A988A9" w14:textId="70FC1F35" w:rsidR="000E2077" w:rsidRDefault="000E2077" w:rsidP="000E2077">
      <w:pPr>
        <w:spacing w:after="218"/>
        <w:ind w:left="-3"/>
      </w:pPr>
      <w:r>
        <w:t xml:space="preserve">The </w:t>
      </w:r>
      <w:r w:rsidR="00071B03">
        <w:t xml:space="preserve">LGPS Regulations </w:t>
      </w:r>
      <w:r>
        <w:t>require that t</w:t>
      </w:r>
      <w:r w:rsidR="00071B03">
        <w:t xml:space="preserve">he admission body </w:t>
      </w:r>
      <w:r>
        <w:t xml:space="preserve">assesses the level of risk arising on premature termination of the admission due to insolvency, winding up or liquidation. This must take account of actuarial advice and be </w:t>
      </w:r>
      <w:r w:rsidR="00071B03">
        <w:t xml:space="preserve">to </w:t>
      </w:r>
      <w:r>
        <w:t>our</w:t>
      </w:r>
      <w:r w:rsidR="00071B03">
        <w:t xml:space="preserve"> satisfaction </w:t>
      </w:r>
      <w:r>
        <w:t>as A</w:t>
      </w:r>
      <w:r w:rsidR="00071B03">
        <w:t xml:space="preserve">dministering </w:t>
      </w:r>
      <w:r>
        <w:t>A</w:t>
      </w:r>
      <w:r w:rsidR="00071B03">
        <w:t>uthority and</w:t>
      </w:r>
      <w:r>
        <w:t xml:space="preserve">, for transferee admission bodies, </w:t>
      </w:r>
      <w:r w:rsidR="00071B03">
        <w:t xml:space="preserve">the </w:t>
      </w:r>
      <w:r>
        <w:t>satisfaction of the letting authority.</w:t>
      </w:r>
    </w:p>
    <w:p w14:paraId="18B78712" w14:textId="47FF204C" w:rsidR="004F511F" w:rsidRDefault="00071B03" w:rsidP="000E2077">
      <w:pPr>
        <w:spacing w:after="218"/>
        <w:ind w:left="-3"/>
      </w:pPr>
      <w:r>
        <w:t>Where the level of risk identified require</w:t>
      </w:r>
      <w:r w:rsidR="000E2077">
        <w:t>s</w:t>
      </w:r>
      <w:r>
        <w:t xml:space="preserve"> it, the admission body must put in place a bond or indemnity in a form approved by the administering authority </w:t>
      </w:r>
      <w:r w:rsidR="000E2077">
        <w:t xml:space="preserve">in line with the Regulations. </w:t>
      </w:r>
    </w:p>
    <w:p w14:paraId="004C75C3" w14:textId="58FA4F64" w:rsidR="000E2077" w:rsidRDefault="00071B03" w:rsidP="00C07E9F">
      <w:pPr>
        <w:spacing w:after="26" w:line="259" w:lineRule="auto"/>
        <w:jc w:val="left"/>
      </w:pPr>
      <w:r>
        <w:t xml:space="preserve">Where, for any reason, it is not desirable for an admission body to enter into an indemnity or bond, the admission body must secure a guarantee in a form </w:t>
      </w:r>
      <w:r>
        <w:lastRenderedPageBreak/>
        <w:t>satisfactory to the administering authority</w:t>
      </w:r>
      <w:r w:rsidR="000E2077">
        <w:t xml:space="preserve"> in line with the Regulations</w:t>
      </w:r>
      <w:r w:rsidR="00C07E9F">
        <w:t xml:space="preserve"> (</w:t>
      </w:r>
      <w:r w:rsidR="003B37A4">
        <w:t xml:space="preserve">and also </w:t>
      </w:r>
      <w:r w:rsidR="00C07E9F">
        <w:t xml:space="preserve">the letting authority in the case of a transferee admission body). </w:t>
      </w:r>
    </w:p>
    <w:p w14:paraId="18369059" w14:textId="77777777" w:rsidR="000E2077" w:rsidRDefault="000E2077" w:rsidP="00C07E9F"/>
    <w:p w14:paraId="6E198E4C" w14:textId="77777777" w:rsidR="00B46868" w:rsidRDefault="00B46868" w:rsidP="00B46868">
      <w:pPr>
        <w:pStyle w:val="Heading2"/>
      </w:pPr>
      <w:bookmarkStart w:id="2" w:name="_Toc20507"/>
      <w:r>
        <w:t xml:space="preserve">4.2 Our Policy </w:t>
      </w:r>
    </w:p>
    <w:p w14:paraId="6574E9A0" w14:textId="77777777" w:rsidR="00B46868" w:rsidRDefault="00B46868" w:rsidP="00B46868">
      <w:pPr>
        <w:spacing w:after="218"/>
        <w:ind w:left="-3"/>
        <w:rPr>
          <w:b/>
          <w:bCs/>
        </w:rPr>
      </w:pPr>
      <w:r>
        <w:rPr>
          <w:b/>
          <w:bCs/>
        </w:rPr>
        <w:t xml:space="preserve">4.2.1 For a transferee admission body: </w:t>
      </w:r>
    </w:p>
    <w:p w14:paraId="51338E3E" w14:textId="77777777" w:rsidR="00B46868" w:rsidRDefault="00B46868" w:rsidP="00B46868">
      <w:pPr>
        <w:numPr>
          <w:ilvl w:val="0"/>
          <w:numId w:val="34"/>
        </w:numPr>
        <w:spacing w:line="268" w:lineRule="auto"/>
        <w:ind w:left="789"/>
        <w:rPr>
          <w:b/>
          <w:bCs/>
        </w:rPr>
      </w:pPr>
      <w:r>
        <w:rPr>
          <w:b/>
          <w:bCs/>
        </w:rPr>
        <w:t>pass through is in place</w:t>
      </w:r>
    </w:p>
    <w:p w14:paraId="41E4C8AD" w14:textId="77777777" w:rsidR="00B46868" w:rsidRDefault="00B46868" w:rsidP="00B46868">
      <w:pPr>
        <w:ind w:left="789" w:firstLine="0"/>
      </w:pPr>
      <w:r>
        <w:t xml:space="preserve">no bond or indemnity will be required where our default pass through arrangements </w:t>
      </w:r>
      <w:proofErr w:type="gramStart"/>
      <w:r>
        <w:t>are</w:t>
      </w:r>
      <w:proofErr w:type="gramEnd"/>
      <w:r>
        <w:t xml:space="preserve"> in place. The Scheme employer letting the contract is in effect a guarantor already under the terms of the LGPS Regulations and will retain responsibility for the funding of the admission body’s liabilities (other than in relation to any early retirement costs or costs of awarding additional pension).  </w:t>
      </w:r>
    </w:p>
    <w:p w14:paraId="00F35AC3" w14:textId="77777777" w:rsidR="00B46868" w:rsidRDefault="00B46868" w:rsidP="00B46868">
      <w:pPr>
        <w:spacing w:after="33" w:line="256" w:lineRule="auto"/>
        <w:ind w:left="722" w:firstLine="0"/>
        <w:jc w:val="left"/>
      </w:pPr>
      <w:r>
        <w:t xml:space="preserve"> </w:t>
      </w:r>
    </w:p>
    <w:p w14:paraId="12ED8A03" w14:textId="77777777" w:rsidR="00B46868" w:rsidRDefault="00B46868" w:rsidP="00B46868">
      <w:pPr>
        <w:numPr>
          <w:ilvl w:val="0"/>
          <w:numId w:val="34"/>
        </w:numPr>
        <w:spacing w:line="268" w:lineRule="auto"/>
        <w:ind w:left="789"/>
        <w:rPr>
          <w:b/>
          <w:bCs/>
        </w:rPr>
      </w:pPr>
      <w:r>
        <w:rPr>
          <w:b/>
          <w:bCs/>
        </w:rPr>
        <w:t>pass through is not in place</w:t>
      </w:r>
    </w:p>
    <w:p w14:paraId="3DD45E26" w14:textId="77777777" w:rsidR="00B46868" w:rsidRDefault="00B46868" w:rsidP="00B46868">
      <w:pPr>
        <w:ind w:left="789" w:firstLine="0"/>
      </w:pPr>
      <w:r>
        <w:t xml:space="preserve">where our default pass through arrangement does not apply, our preference is for a bond or indemnity rather than a formal guarantee.  </w:t>
      </w:r>
    </w:p>
    <w:p w14:paraId="172C9A9B" w14:textId="77777777" w:rsidR="00B46868" w:rsidRDefault="00B46868" w:rsidP="00B46868">
      <w:pPr>
        <w:ind w:left="789" w:firstLine="0"/>
      </w:pPr>
    </w:p>
    <w:p w14:paraId="2533F058" w14:textId="77777777" w:rsidR="00B46868" w:rsidRDefault="00B46868" w:rsidP="00B46868">
      <w:pPr>
        <w:ind w:left="789" w:firstLine="0"/>
      </w:pPr>
      <w:r>
        <w:t xml:space="preserve">Where the Scheme employer letting the contract is a tax raising body or is fully funded by a central government department, the letting authority can choose whether to stipulate a bond or indemnity or to provide a formal guarantee, in which case it must sign our template guarantee agreement. </w:t>
      </w:r>
    </w:p>
    <w:p w14:paraId="5498371C" w14:textId="77777777" w:rsidR="00B46868" w:rsidRDefault="00B46868" w:rsidP="00B46868">
      <w:pPr>
        <w:spacing w:after="31" w:line="256" w:lineRule="auto"/>
        <w:ind w:left="429" w:firstLine="0"/>
        <w:jc w:val="left"/>
      </w:pPr>
      <w:r>
        <w:t xml:space="preserve"> </w:t>
      </w:r>
    </w:p>
    <w:p w14:paraId="6E871086" w14:textId="77777777" w:rsidR="00B46868" w:rsidRDefault="00B46868" w:rsidP="00B46868">
      <w:pPr>
        <w:spacing w:after="202"/>
        <w:ind w:left="789" w:firstLine="0"/>
      </w:pPr>
      <w:r>
        <w:t xml:space="preserve">Where the Scheme employer letting the contract is not considered by the Fund to be sufficiently financially strong and secure, a bond or indemnity will be required </w:t>
      </w:r>
    </w:p>
    <w:p w14:paraId="4E91DF56" w14:textId="77777777" w:rsidR="00B46868" w:rsidRDefault="00B46868" w:rsidP="00B46868">
      <w:pPr>
        <w:spacing w:after="220"/>
        <w:ind w:left="-3"/>
        <w:rPr>
          <w:b/>
          <w:bCs/>
        </w:rPr>
      </w:pPr>
      <w:r>
        <w:rPr>
          <w:b/>
          <w:bCs/>
        </w:rPr>
        <w:t xml:space="preserve">4.2.2 The Fund will require any potential community admission body to provide: </w:t>
      </w:r>
    </w:p>
    <w:p w14:paraId="4D31CD6B" w14:textId="77777777" w:rsidR="00B46868" w:rsidRDefault="00B46868" w:rsidP="00B46868">
      <w:pPr>
        <w:numPr>
          <w:ilvl w:val="0"/>
          <w:numId w:val="34"/>
        </w:numPr>
        <w:spacing w:after="206" w:line="268" w:lineRule="auto"/>
        <w:ind w:left="789"/>
      </w:pPr>
      <w:r>
        <w:t xml:space="preserve">a guarantee from a body we consider to provide sufficient protection for other employers in the Fund (which we generally consider to be a Scheduled Body in the Fund with tax raising powers such as a local authority or a central government department) or </w:t>
      </w:r>
    </w:p>
    <w:p w14:paraId="0AA26049" w14:textId="77777777" w:rsidR="00B46868" w:rsidRDefault="00B46868" w:rsidP="00B46868">
      <w:pPr>
        <w:numPr>
          <w:ilvl w:val="0"/>
          <w:numId w:val="34"/>
        </w:numPr>
        <w:spacing w:after="206" w:line="268" w:lineRule="auto"/>
        <w:ind w:left="789"/>
      </w:pPr>
      <w:r>
        <w:t xml:space="preserve">a bond/indemnity we consider will provide appropriate security for other employers in the Fund. </w:t>
      </w:r>
    </w:p>
    <w:p w14:paraId="12547EE7" w14:textId="77777777" w:rsidR="00B46868" w:rsidRDefault="00B46868" w:rsidP="00B46868">
      <w:pPr>
        <w:spacing w:after="220"/>
        <w:ind w:left="-3"/>
      </w:pPr>
      <w:r>
        <w:t xml:space="preserve">In all circumstances where a bond or indemnity is provided, the bond or indemnity must be re-evaluated and renewed on a regular basis, for example following the triennial actuarial valuation, at the cost of the admission body. </w:t>
      </w:r>
    </w:p>
    <w:p w14:paraId="22800E8C" w14:textId="0F83BC9B" w:rsidR="004F511F" w:rsidRDefault="003578CF" w:rsidP="00F76060">
      <w:pPr>
        <w:pStyle w:val="Heading1"/>
        <w:numPr>
          <w:ilvl w:val="0"/>
          <w:numId w:val="24"/>
        </w:numPr>
      </w:pPr>
      <w:r>
        <w:t>Other aspects of funding</w:t>
      </w:r>
      <w:r w:rsidR="006A15BD">
        <w:t>: asset tracking, recovery periods etc</w:t>
      </w:r>
      <w:bookmarkEnd w:id="2"/>
    </w:p>
    <w:p w14:paraId="25BAC7A2" w14:textId="77777777" w:rsidR="004F511F" w:rsidRDefault="00071B03">
      <w:pPr>
        <w:spacing w:after="0" w:line="259" w:lineRule="auto"/>
        <w:ind w:left="1" w:firstLine="0"/>
        <w:jc w:val="left"/>
      </w:pPr>
      <w:r>
        <w:rPr>
          <w:color w:val="003399"/>
        </w:rPr>
        <w:t xml:space="preserve"> </w:t>
      </w:r>
    </w:p>
    <w:p w14:paraId="29067D39" w14:textId="77777777" w:rsidR="00B46868" w:rsidRDefault="00B46868" w:rsidP="00B46868">
      <w:pPr>
        <w:spacing w:after="0" w:line="256" w:lineRule="auto"/>
        <w:ind w:left="1" w:firstLine="0"/>
        <w:jc w:val="left"/>
        <w:rPr>
          <w:color w:val="003399"/>
        </w:rPr>
      </w:pPr>
      <w:bookmarkStart w:id="3" w:name="_Toc20512"/>
      <w:r>
        <w:rPr>
          <w:color w:val="003399"/>
        </w:rPr>
        <w:t>5.1 Transferee admission bodies</w:t>
      </w:r>
    </w:p>
    <w:p w14:paraId="78FECA3F" w14:textId="77777777" w:rsidR="00B46868" w:rsidRDefault="00B46868" w:rsidP="00B46868">
      <w:pPr>
        <w:spacing w:after="0" w:line="256" w:lineRule="auto"/>
        <w:ind w:left="1" w:firstLine="0"/>
        <w:jc w:val="left"/>
        <w:rPr>
          <w:color w:val="auto"/>
        </w:rPr>
      </w:pPr>
    </w:p>
    <w:p w14:paraId="61A1CB38" w14:textId="77777777" w:rsidR="00B46868" w:rsidRDefault="00B46868" w:rsidP="00B46868">
      <w:pPr>
        <w:pStyle w:val="Heading2"/>
        <w:rPr>
          <w:b/>
          <w:bCs/>
          <w:color w:val="auto"/>
        </w:rPr>
      </w:pPr>
      <w:r>
        <w:rPr>
          <w:b/>
          <w:bCs/>
          <w:color w:val="auto"/>
        </w:rPr>
        <w:lastRenderedPageBreak/>
        <w:t>5.1.1 Where pass through is in place</w:t>
      </w:r>
    </w:p>
    <w:p w14:paraId="16FE18C2" w14:textId="77777777" w:rsidR="00B46868" w:rsidRDefault="00B46868" w:rsidP="00B46868">
      <w:pPr>
        <w:pStyle w:val="ListParagraph"/>
        <w:numPr>
          <w:ilvl w:val="0"/>
          <w:numId w:val="35"/>
        </w:numPr>
        <w:spacing w:line="268" w:lineRule="auto"/>
      </w:pPr>
      <w:r>
        <w:t>The letting authority is assumed to remain responsible for all funding risks, (other than in relation to any early retirement costs or costs of awarding additional pension). As a result, there is no notional allocation of assets within the Fund to the admission body.</w:t>
      </w:r>
    </w:p>
    <w:p w14:paraId="2D089628" w14:textId="77777777" w:rsidR="00B46868" w:rsidRDefault="00B46868" w:rsidP="00B46868">
      <w:pPr>
        <w:pStyle w:val="ListParagraph"/>
        <w:numPr>
          <w:ilvl w:val="0"/>
          <w:numId w:val="0"/>
        </w:numPr>
        <w:ind w:left="721"/>
      </w:pPr>
    </w:p>
    <w:p w14:paraId="3D75418A" w14:textId="77777777" w:rsidR="00B46868" w:rsidRDefault="00B46868" w:rsidP="00B46868">
      <w:pPr>
        <w:pStyle w:val="ListParagraph"/>
        <w:numPr>
          <w:ilvl w:val="0"/>
          <w:numId w:val="33"/>
        </w:numPr>
        <w:spacing w:line="268" w:lineRule="auto"/>
        <w:ind w:left="714" w:hanging="357"/>
      </w:pPr>
      <w:r>
        <w:t>Contributions payable by the admission body will be linked to those of the letting authority. In effect, this means that all aspects of funding strategy which apply to the letting authority, such as how contributions are adjusted to allow for any surplus or deficit in the Fund and the period over which any surplus or deficit is recovered, are implicitly applied to the admission body.  Further details of the strategy and assumptions adopted are set out in our Funding Strategy Statement, which is reviewed at least triennially as part of the formal valuation process.</w:t>
      </w:r>
    </w:p>
    <w:p w14:paraId="56603023" w14:textId="77777777" w:rsidR="00B46868" w:rsidRDefault="00B46868" w:rsidP="00B46868">
      <w:pPr>
        <w:rPr>
          <w:b/>
          <w:bCs/>
          <w:color w:val="auto"/>
        </w:rPr>
      </w:pPr>
    </w:p>
    <w:p w14:paraId="432382DC" w14:textId="77777777" w:rsidR="00B46868" w:rsidRDefault="00B46868" w:rsidP="00B46868">
      <w:pPr>
        <w:pStyle w:val="Heading2"/>
        <w:rPr>
          <w:b/>
          <w:bCs/>
          <w:color w:val="auto"/>
        </w:rPr>
      </w:pPr>
      <w:r>
        <w:rPr>
          <w:b/>
          <w:bCs/>
          <w:color w:val="auto"/>
        </w:rPr>
        <w:t xml:space="preserve">5.1.2 Where pass through is not in place </w:t>
      </w:r>
    </w:p>
    <w:p w14:paraId="44600B16" w14:textId="77777777" w:rsidR="00B46868" w:rsidRDefault="00B46868" w:rsidP="00B46868">
      <w:pPr>
        <w:pStyle w:val="ListParagraph"/>
        <w:numPr>
          <w:ilvl w:val="0"/>
          <w:numId w:val="36"/>
        </w:numPr>
        <w:spacing w:after="203" w:line="268" w:lineRule="auto"/>
      </w:pPr>
      <w:r>
        <w:t xml:space="preserve">Where the admission body will be responsible for funding risks, our approach is to notionally allocate assets in the Fund to the employer on admission. </w:t>
      </w:r>
    </w:p>
    <w:p w14:paraId="33962AAD" w14:textId="77777777" w:rsidR="00B46868" w:rsidRDefault="00B46868" w:rsidP="00B46868">
      <w:pPr>
        <w:pStyle w:val="ListParagraph"/>
        <w:numPr>
          <w:ilvl w:val="0"/>
          <w:numId w:val="0"/>
        </w:numPr>
        <w:spacing w:after="203"/>
        <w:ind w:left="709"/>
      </w:pPr>
    </w:p>
    <w:p w14:paraId="22F006F7" w14:textId="77777777" w:rsidR="00B46868" w:rsidRDefault="00B46868" w:rsidP="00B46868">
      <w:pPr>
        <w:pStyle w:val="ListParagraph"/>
        <w:numPr>
          <w:ilvl w:val="0"/>
          <w:numId w:val="0"/>
        </w:numPr>
        <w:spacing w:after="203"/>
        <w:ind w:left="709"/>
      </w:pPr>
      <w:r>
        <w:t xml:space="preserve">For transferee admission bodies this usually means assets are notionally allocated equal to 100% of the value of the past service liabilities of any transferring employees.   </w:t>
      </w:r>
    </w:p>
    <w:p w14:paraId="6D47FC95" w14:textId="77777777" w:rsidR="00B46868" w:rsidRDefault="00B46868" w:rsidP="00B46868">
      <w:pPr>
        <w:spacing w:after="26" w:line="256" w:lineRule="auto"/>
        <w:ind w:left="709" w:firstLine="0"/>
        <w:jc w:val="left"/>
      </w:pPr>
      <w:r>
        <w:t>Where a deficit is transferred, which will only apply in exceptional cases and where we have explicitly agreed to this, a deficit recovery period will be adopted, determined using the principles set out in our Funding Strategy Statement.</w:t>
      </w:r>
    </w:p>
    <w:p w14:paraId="7DB1CB93" w14:textId="77777777" w:rsidR="00B46868" w:rsidRDefault="00B46868" w:rsidP="00B46868">
      <w:pPr>
        <w:spacing w:after="0" w:line="256" w:lineRule="auto"/>
        <w:ind w:left="567" w:firstLine="0"/>
        <w:jc w:val="left"/>
      </w:pPr>
      <w:r>
        <w:t xml:space="preserve"> </w:t>
      </w:r>
    </w:p>
    <w:p w14:paraId="28DBB287" w14:textId="77777777" w:rsidR="00B46868" w:rsidRDefault="00B46868" w:rsidP="00B46868">
      <w:pPr>
        <w:pStyle w:val="Heading2"/>
      </w:pPr>
      <w:r>
        <w:t>5.2 Community admission bodies</w:t>
      </w:r>
    </w:p>
    <w:p w14:paraId="0F5C9CB8" w14:textId="77777777" w:rsidR="00B46868" w:rsidRDefault="00B46868" w:rsidP="00B46868">
      <w:pPr>
        <w:pStyle w:val="ListParagraph"/>
        <w:numPr>
          <w:ilvl w:val="0"/>
          <w:numId w:val="33"/>
        </w:numPr>
        <w:spacing w:line="268" w:lineRule="auto"/>
        <w:ind w:left="593" w:firstLine="0"/>
      </w:pPr>
      <w:r>
        <w:t>The notional asset transfer will be determined depending on the circumstances of that case.  We will permit a transfer of deficit as long as we are satisfied that this will not lead to a material risk to other employers in the Fund.</w:t>
      </w:r>
    </w:p>
    <w:p w14:paraId="6EF4F0BE" w14:textId="77777777" w:rsidR="00B46868" w:rsidRDefault="00B46868" w:rsidP="00B46868">
      <w:pPr>
        <w:spacing w:after="26" w:line="256" w:lineRule="auto"/>
        <w:ind w:left="567" w:firstLine="0"/>
        <w:jc w:val="left"/>
      </w:pPr>
      <w:r>
        <w:t xml:space="preserve"> </w:t>
      </w:r>
    </w:p>
    <w:p w14:paraId="45C4A82D" w14:textId="77777777" w:rsidR="00B46868" w:rsidRDefault="00B46868" w:rsidP="00B46868">
      <w:pPr>
        <w:ind w:left="709" w:firstLine="0"/>
      </w:pPr>
      <w:r>
        <w:t xml:space="preserve">Where a deficit (or surplus) is transferred, a deficit recovery period will be adopted, determined using the principles set out in our Funding Strategy Statement.    </w:t>
      </w:r>
    </w:p>
    <w:p w14:paraId="2474A9A1" w14:textId="77777777" w:rsidR="00B46868" w:rsidRDefault="00B46868" w:rsidP="00B46868">
      <w:pPr>
        <w:spacing w:after="50" w:line="256" w:lineRule="auto"/>
        <w:ind w:left="1801" w:firstLine="0"/>
        <w:jc w:val="left"/>
      </w:pPr>
    </w:p>
    <w:p w14:paraId="2A9C52D1" w14:textId="77777777" w:rsidR="00B46868" w:rsidRDefault="00B46868" w:rsidP="00B46868">
      <w:pPr>
        <w:pStyle w:val="Heading2"/>
      </w:pPr>
      <w:r>
        <w:t>5.3 Calculation of notional asset transfer</w:t>
      </w:r>
    </w:p>
    <w:p w14:paraId="4A21E0C9" w14:textId="77777777" w:rsidR="00B46868" w:rsidRDefault="00B46868" w:rsidP="00B46868">
      <w:pPr>
        <w:spacing w:after="26" w:line="256" w:lineRule="auto"/>
        <w:ind w:left="361" w:firstLine="348"/>
        <w:jc w:val="left"/>
      </w:pPr>
      <w:r>
        <w:t>In all cases where a notional asset transfer is required,</w:t>
      </w:r>
    </w:p>
    <w:p w14:paraId="10B95617" w14:textId="77777777" w:rsidR="00B46868" w:rsidRDefault="00B46868" w:rsidP="00B46868">
      <w:pPr>
        <w:spacing w:after="26" w:line="256" w:lineRule="auto"/>
        <w:ind w:left="361" w:firstLine="348"/>
        <w:jc w:val="left"/>
      </w:pPr>
    </w:p>
    <w:p w14:paraId="31286661" w14:textId="77777777" w:rsidR="00B46868" w:rsidRDefault="00B46868" w:rsidP="00B46868">
      <w:pPr>
        <w:numPr>
          <w:ilvl w:val="1"/>
          <w:numId w:val="36"/>
        </w:numPr>
        <w:spacing w:line="268" w:lineRule="auto"/>
      </w:pPr>
      <w:r>
        <w:t xml:space="preserve">the initial liability value will be calculated using our ongoing funding basis updated for market conditions on admission as set out in the Fund’s Funding Strategy Statement </w:t>
      </w:r>
    </w:p>
    <w:p w14:paraId="75EC6FA7" w14:textId="77777777" w:rsidR="00B46868" w:rsidRDefault="00B46868" w:rsidP="00B46868">
      <w:pPr>
        <w:ind w:left="1134" w:firstLine="0"/>
      </w:pPr>
    </w:p>
    <w:p w14:paraId="0A844066" w14:textId="63999B91" w:rsidR="00B46868" w:rsidRDefault="00B46868" w:rsidP="00B46868">
      <w:pPr>
        <w:numPr>
          <w:ilvl w:val="1"/>
          <w:numId w:val="36"/>
        </w:numPr>
        <w:spacing w:after="259" w:line="268" w:lineRule="auto"/>
      </w:pPr>
      <w:r>
        <w:t xml:space="preserve">the notional asset value will be tracked during the period of the admission agreement by our Actuary and adjusted at each formal triennial valuation to take account of cash flows paid and received in respect of the employer, and investment returns earned by the Fund over the period.   </w:t>
      </w:r>
    </w:p>
    <w:p w14:paraId="0EA73DBC" w14:textId="77777777" w:rsidR="00B46868" w:rsidRDefault="00B46868" w:rsidP="00B46868">
      <w:pPr>
        <w:ind w:left="709" w:firstLine="0"/>
      </w:pPr>
      <w:r>
        <w:t>Further details of how employer assets are tracked and contributions are determined are set out in our Funding Strategy Statement.</w:t>
      </w:r>
    </w:p>
    <w:p w14:paraId="40F7FD02" w14:textId="77777777" w:rsidR="00B46868" w:rsidRDefault="00B46868" w:rsidP="00B46868">
      <w:pPr>
        <w:spacing w:after="259"/>
      </w:pPr>
    </w:p>
    <w:p w14:paraId="04B219E9" w14:textId="77777777" w:rsidR="00B46868" w:rsidRDefault="00B46868" w:rsidP="00B46868">
      <w:pPr>
        <w:pStyle w:val="Heading2"/>
      </w:pPr>
      <w:r>
        <w:t>5.4 Additional payments by admission bodies</w:t>
      </w:r>
    </w:p>
    <w:p w14:paraId="3F98AD80" w14:textId="77777777" w:rsidR="00B46868" w:rsidRDefault="00B46868" w:rsidP="00B46868">
      <w:pPr>
        <w:spacing w:after="218"/>
        <w:ind w:left="-3"/>
      </w:pPr>
      <w:r>
        <w:t xml:space="preserve">In addition to the employer contribution rate (see paragraph 3 above) the admission body will be required to make additional payments including, but not limited to:  </w:t>
      </w:r>
    </w:p>
    <w:p w14:paraId="5F44E7A2" w14:textId="77777777" w:rsidR="00B46868" w:rsidRDefault="00B46868" w:rsidP="00B46868">
      <w:pPr>
        <w:numPr>
          <w:ilvl w:val="0"/>
          <w:numId w:val="37"/>
        </w:numPr>
        <w:spacing w:line="268" w:lineRule="auto"/>
      </w:pPr>
      <w:r>
        <w:t xml:space="preserve">lump sums in relation to strain costs of any non-ill-health early retirements or early payment of pension benefits </w:t>
      </w:r>
    </w:p>
    <w:p w14:paraId="71770D69" w14:textId="77777777" w:rsidR="00B46868" w:rsidRDefault="00B46868" w:rsidP="00B46868">
      <w:pPr>
        <w:spacing w:after="50" w:line="256" w:lineRule="auto"/>
        <w:ind w:left="709" w:firstLine="0"/>
        <w:jc w:val="left"/>
      </w:pPr>
      <w:r>
        <w:t xml:space="preserve"> </w:t>
      </w:r>
    </w:p>
    <w:p w14:paraId="7F4A73FF" w14:textId="77777777" w:rsidR="00B46868" w:rsidRDefault="00B46868" w:rsidP="00B46868">
      <w:pPr>
        <w:numPr>
          <w:ilvl w:val="0"/>
          <w:numId w:val="37"/>
        </w:numPr>
        <w:spacing w:line="268" w:lineRule="auto"/>
      </w:pPr>
      <w:r>
        <w:t xml:space="preserve">lump sums in relation to the cost of any award of additional benefits, and </w:t>
      </w:r>
    </w:p>
    <w:p w14:paraId="6650EB68" w14:textId="77777777" w:rsidR="00B46868" w:rsidRDefault="00B46868" w:rsidP="00B46868">
      <w:pPr>
        <w:spacing w:after="31" w:line="256" w:lineRule="auto"/>
        <w:ind w:left="709" w:firstLine="0"/>
        <w:jc w:val="left"/>
      </w:pPr>
      <w:r>
        <w:t xml:space="preserve"> </w:t>
      </w:r>
    </w:p>
    <w:p w14:paraId="4963D2AB" w14:textId="77777777" w:rsidR="00B46868" w:rsidRDefault="00B46868" w:rsidP="00B46868">
      <w:pPr>
        <w:numPr>
          <w:ilvl w:val="0"/>
          <w:numId w:val="37"/>
        </w:numPr>
        <w:spacing w:after="200" w:line="268" w:lineRule="auto"/>
      </w:pPr>
      <w:r>
        <w:t xml:space="preserve">reimbursement of our costs (whether direct or indirect) due to poor administration by the admission body as set out in our Administration Strategy. </w:t>
      </w:r>
    </w:p>
    <w:p w14:paraId="1595B474" w14:textId="77777777" w:rsidR="00B46868" w:rsidRDefault="00B46868" w:rsidP="00B46868">
      <w:pPr>
        <w:spacing w:after="235"/>
        <w:ind w:left="-3"/>
      </w:pPr>
      <w:r>
        <w:t>The Fund may agree to allow the admission body to make payment of any lump sums as equal monthly payments over a fixed period, up to a maximum of 3 years or the period to the expected cessation of the admission agreement if less.</w:t>
      </w:r>
    </w:p>
    <w:p w14:paraId="2B3880D0" w14:textId="77777777" w:rsidR="00B46868" w:rsidRDefault="00B46868" w:rsidP="00B46868">
      <w:pPr>
        <w:spacing w:after="259"/>
        <w:ind w:left="-3"/>
      </w:pPr>
      <w:r>
        <w:t xml:space="preserve">The Fund may require any actuarial, legal, non-standard administration and other justifiable cost to be paid by the admission body. In the case of a transferee admission body it may be agreed that these costs are paid for by the Scheme employer who let the contract or shared with that employer and the transferee admission body. </w:t>
      </w:r>
    </w:p>
    <w:p w14:paraId="2EF34FAF" w14:textId="0711E095" w:rsidR="004F511F" w:rsidRDefault="00071B03" w:rsidP="00453144">
      <w:pPr>
        <w:pStyle w:val="Heading1"/>
        <w:numPr>
          <w:ilvl w:val="0"/>
          <w:numId w:val="24"/>
        </w:numPr>
        <w:spacing w:after="203"/>
      </w:pPr>
      <w:r>
        <w:t xml:space="preserve">Ill-health self-insurance </w:t>
      </w:r>
      <w:bookmarkEnd w:id="3"/>
    </w:p>
    <w:p w14:paraId="32E4748C" w14:textId="376F0D17" w:rsidR="004F511F" w:rsidRDefault="000F0AB3" w:rsidP="00453144">
      <w:pPr>
        <w:pStyle w:val="Heading2"/>
      </w:pPr>
      <w:r>
        <w:t>6.1 How do ill-health retirements affect funding?</w:t>
      </w:r>
    </w:p>
    <w:p w14:paraId="0157DBA1" w14:textId="0D240E1A" w:rsidR="004F511F" w:rsidRDefault="00071B03">
      <w:pPr>
        <w:spacing w:after="201"/>
        <w:ind w:left="-3"/>
      </w:pPr>
      <w:r>
        <w:t>Most LGPS benefits build up gradually during each member’s employment. However</w:t>
      </w:r>
      <w:r w:rsidR="00EC386C">
        <w:t>,</w:t>
      </w:r>
      <w:r>
        <w:t xml:space="preserve"> there are some protection benefits, such as ill-health retirement, </w:t>
      </w:r>
      <w:r w:rsidR="00EC386C">
        <w:t xml:space="preserve">where members may receive credit for benefits which would have been accrued in future. This means they </w:t>
      </w:r>
      <w:r>
        <w:t xml:space="preserve">will give rise to funding deficit when they occur, unless some advance funding has been made to meet an estimate of these costs. </w:t>
      </w:r>
    </w:p>
    <w:p w14:paraId="22916EE1" w14:textId="070D7412" w:rsidR="004F511F" w:rsidRDefault="000F0AB3">
      <w:pPr>
        <w:spacing w:after="242"/>
        <w:ind w:left="-3"/>
      </w:pPr>
      <w:r>
        <w:t>Whilst t</w:t>
      </w:r>
      <w:r w:rsidR="00071B03">
        <w:t xml:space="preserve">he </w:t>
      </w:r>
      <w:r>
        <w:t xml:space="preserve">primary </w:t>
      </w:r>
      <w:r w:rsidR="00071B03">
        <w:t>contribution rate will include an allowance for ill-health retirements</w:t>
      </w:r>
      <w:r>
        <w:t xml:space="preserve">, this is </w:t>
      </w:r>
      <w:r w:rsidR="00071B03">
        <w:t xml:space="preserve">typically a relatively small percentage of payroll each year of around 1% - 2%, as the incidence of these events is relatively infrequent.  However, employers should be aware that the additional cost of an ill-health retirement, particularly a tier 1 ill-health retirement, can be significant relative to the contributions and an employer’s payroll. </w:t>
      </w:r>
    </w:p>
    <w:p w14:paraId="40577AD7" w14:textId="00635CC7" w:rsidR="004F511F" w:rsidRDefault="000F0AB3" w:rsidP="00F76060">
      <w:pPr>
        <w:pStyle w:val="Heading2"/>
      </w:pPr>
      <w:r>
        <w:lastRenderedPageBreak/>
        <w:t xml:space="preserve">6.2 Our </w:t>
      </w:r>
      <w:r w:rsidR="00071B03">
        <w:t xml:space="preserve">Policy </w:t>
      </w:r>
    </w:p>
    <w:p w14:paraId="156FBE98" w14:textId="2C563232" w:rsidR="007406F0" w:rsidRPr="007406F0" w:rsidRDefault="000F0AB3" w:rsidP="007406F0">
      <w:r>
        <w:t>We operat</w:t>
      </w:r>
      <w:r w:rsidR="007406F0">
        <w:t xml:space="preserve">e </w:t>
      </w:r>
      <w:r w:rsidR="003B37A4">
        <w:t xml:space="preserve">a </w:t>
      </w:r>
      <w:proofErr w:type="spellStart"/>
      <w:r w:rsidR="007406F0" w:rsidRPr="007406F0">
        <w:t>self insurance</w:t>
      </w:r>
      <w:proofErr w:type="spellEnd"/>
      <w:r w:rsidR="007406F0" w:rsidRPr="007406F0">
        <w:t xml:space="preserve"> arrangement</w:t>
      </w:r>
      <w:r w:rsidR="003B37A4">
        <w:t xml:space="preserve"> </w:t>
      </w:r>
      <w:r w:rsidR="00453144">
        <w:t xml:space="preserve">for </w:t>
      </w:r>
      <w:r w:rsidR="003B37A4">
        <w:t>ill-health benefits</w:t>
      </w:r>
      <w:r w:rsidR="007406F0" w:rsidRPr="007406F0">
        <w:t>, whereby a portion of each employer’s contributions is earmarked for payment of any Tier 1 or Tier 2 ill-health costs that may arise in future. These contributions are combined with those of all other employers in the arrangement, thereby creating a notional fund out of which any</w:t>
      </w:r>
      <w:r w:rsidR="003B37A4">
        <w:t xml:space="preserve"> </w:t>
      </w:r>
      <w:r w:rsidR="007406F0" w:rsidRPr="007406F0">
        <w:t xml:space="preserve">Tier 1 or Tier 2 ill-health costs are paid. </w:t>
      </w:r>
    </w:p>
    <w:p w14:paraId="7AEF7D8C" w14:textId="77777777" w:rsidR="007406F0" w:rsidRPr="007406F0" w:rsidRDefault="007406F0" w:rsidP="007406F0"/>
    <w:p w14:paraId="4C092EC6" w14:textId="1FA460DD" w:rsidR="004F511F" w:rsidRDefault="00071B03" w:rsidP="00453144">
      <w:r>
        <w:t xml:space="preserve">This means that the employers covered by the policy will not be invoiced for the cost of ill-health retirements when they occur. </w:t>
      </w:r>
      <w:r w:rsidR="007406F0">
        <w:t>Our policy is that any employers</w:t>
      </w:r>
      <w:r>
        <w:t xml:space="preserve"> participating as an admission body in the Fund</w:t>
      </w:r>
      <w:r w:rsidR="007406F0">
        <w:t xml:space="preserve"> </w:t>
      </w:r>
      <w:r>
        <w:t>will automatically</w:t>
      </w:r>
      <w:r w:rsidR="007406F0">
        <w:t xml:space="preserve"> participate in</w:t>
      </w:r>
      <w:r>
        <w:t xml:space="preserve"> the self-insurance </w:t>
      </w:r>
      <w:r w:rsidR="000954A7">
        <w:t>arrangement</w:t>
      </w:r>
      <w:r w:rsidR="00453144">
        <w:t xml:space="preserve"> unless pass-through is in place with the Council</w:t>
      </w:r>
      <w:r>
        <w:t xml:space="preserve">. </w:t>
      </w:r>
    </w:p>
    <w:p w14:paraId="56D8EBB7" w14:textId="0024D103" w:rsidR="007406F0" w:rsidRPr="007406F0" w:rsidRDefault="007406F0" w:rsidP="00453144">
      <w:pPr>
        <w:spacing w:after="71" w:line="259" w:lineRule="auto"/>
        <w:jc w:val="left"/>
      </w:pPr>
    </w:p>
    <w:p w14:paraId="51899251" w14:textId="1A109264" w:rsidR="007406F0" w:rsidRPr="007406F0" w:rsidRDefault="00453144" w:rsidP="007406F0">
      <w:r>
        <w:t>T</w:t>
      </w:r>
      <w:r w:rsidR="007406F0" w:rsidRPr="007406F0">
        <w:t xml:space="preserve">he ill-health </w:t>
      </w:r>
      <w:proofErr w:type="spellStart"/>
      <w:r w:rsidR="007406F0" w:rsidRPr="007406F0">
        <w:t>self insurance</w:t>
      </w:r>
      <w:proofErr w:type="spellEnd"/>
      <w:r w:rsidR="007406F0" w:rsidRPr="007406F0">
        <w:t xml:space="preserve"> arrangement will not apply to any employers participating under a pass through arrangement </w:t>
      </w:r>
      <w:r w:rsidR="000954A7">
        <w:t>with</w:t>
      </w:r>
      <w:r w:rsidR="007406F0" w:rsidRPr="007406F0">
        <w:t xml:space="preserve"> the Council</w:t>
      </w:r>
      <w:r>
        <w:t xml:space="preserve"> </w:t>
      </w:r>
      <w:r w:rsidR="007406F0" w:rsidRPr="007406F0">
        <w:t>because the Council pool (including associated pass through employers) is deemed large enough that it can in effect self-insure ill-health risk i.e. it is not anticipated that ill-health events will lead to volatile funding outcomes.</w:t>
      </w:r>
    </w:p>
    <w:p w14:paraId="1E4FC811" w14:textId="77777777" w:rsidR="007406F0" w:rsidRPr="007406F0" w:rsidRDefault="007406F0" w:rsidP="007406F0"/>
    <w:p w14:paraId="75BAF489" w14:textId="77777777" w:rsidR="007406F0" w:rsidRPr="007406F0" w:rsidRDefault="007406F0" w:rsidP="007406F0">
      <w:r w:rsidRPr="007406F0">
        <w:t>Note that in practice the above arrangements will also apply in the same manner to any death in service benefits that are incurred.</w:t>
      </w:r>
    </w:p>
    <w:p w14:paraId="345FF7D4" w14:textId="77777777" w:rsidR="007406F0" w:rsidRDefault="007406F0" w:rsidP="007406F0"/>
    <w:p w14:paraId="03789068" w14:textId="77777777" w:rsidR="007406F0" w:rsidRDefault="007406F0" w:rsidP="00453144">
      <w:pPr>
        <w:spacing w:after="71" w:line="259" w:lineRule="auto"/>
        <w:jc w:val="left"/>
      </w:pPr>
    </w:p>
    <w:p w14:paraId="248EB3A8" w14:textId="33498A4E" w:rsidR="004F511F" w:rsidRDefault="00071B03" w:rsidP="00F76060">
      <w:pPr>
        <w:pStyle w:val="Heading1"/>
        <w:numPr>
          <w:ilvl w:val="0"/>
          <w:numId w:val="24"/>
        </w:numPr>
        <w:spacing w:after="165"/>
      </w:pPr>
      <w:bookmarkStart w:id="4" w:name="_Toc20514"/>
      <w:r>
        <w:t xml:space="preserve">Termination of Admission Bodies in the Fund </w:t>
      </w:r>
      <w:bookmarkEnd w:id="4"/>
    </w:p>
    <w:p w14:paraId="118EF2E6" w14:textId="08CCBF5A" w:rsidR="004F511F" w:rsidRDefault="000F0AB3">
      <w:pPr>
        <w:pStyle w:val="Heading2"/>
        <w:ind w:left="-3"/>
      </w:pPr>
      <w:bookmarkStart w:id="5" w:name="_Toc20515"/>
      <w:r>
        <w:t xml:space="preserve">7.1 Regulatory requirements </w:t>
      </w:r>
      <w:bookmarkEnd w:id="5"/>
    </w:p>
    <w:p w14:paraId="45E47DEB" w14:textId="77777777" w:rsidR="004F511F" w:rsidRDefault="00071B03">
      <w:pPr>
        <w:spacing w:after="222"/>
        <w:ind w:left="-3"/>
      </w:pPr>
      <w:r>
        <w:t xml:space="preserve">Part 3 of Schedule 2 (para 9(d)) of the Regulations provides that an admission agreement must include a right for the administering authority to terminate the agreement in the event of </w:t>
      </w:r>
    </w:p>
    <w:p w14:paraId="69BF7A22" w14:textId="77777777" w:rsidR="004F511F" w:rsidRDefault="00071B03">
      <w:pPr>
        <w:numPr>
          <w:ilvl w:val="0"/>
          <w:numId w:val="14"/>
        </w:numPr>
        <w:ind w:hanging="720"/>
      </w:pPr>
      <w:r>
        <w:t xml:space="preserve">the insolvency, winding up or liquidation of the admission body, </w:t>
      </w:r>
    </w:p>
    <w:p w14:paraId="71BD5B6A" w14:textId="77777777" w:rsidR="004F511F" w:rsidRDefault="00071B03">
      <w:pPr>
        <w:spacing w:after="0" w:line="259" w:lineRule="auto"/>
        <w:ind w:left="1080" w:firstLine="0"/>
        <w:jc w:val="left"/>
      </w:pPr>
      <w:r>
        <w:t xml:space="preserve"> </w:t>
      </w:r>
    </w:p>
    <w:p w14:paraId="0868F563" w14:textId="77777777" w:rsidR="004F511F" w:rsidRDefault="00071B03">
      <w:pPr>
        <w:numPr>
          <w:ilvl w:val="0"/>
          <w:numId w:val="14"/>
        </w:numPr>
        <w:ind w:hanging="720"/>
      </w:pPr>
      <w:r>
        <w:t xml:space="preserve">a material breach by the admission body of any of its obligations under the admission agreement or the Regulations which has not been remedied within a reasonable time, </w:t>
      </w:r>
    </w:p>
    <w:p w14:paraId="3D9A7E74" w14:textId="77777777" w:rsidR="004F511F" w:rsidRDefault="00071B03">
      <w:pPr>
        <w:spacing w:after="16" w:line="259" w:lineRule="auto"/>
        <w:ind w:left="567" w:firstLine="0"/>
        <w:jc w:val="left"/>
      </w:pPr>
      <w:r>
        <w:t xml:space="preserve"> </w:t>
      </w:r>
    </w:p>
    <w:p w14:paraId="6AF1F76A" w14:textId="77777777" w:rsidR="004F511F" w:rsidRDefault="00071B03">
      <w:pPr>
        <w:numPr>
          <w:ilvl w:val="0"/>
          <w:numId w:val="14"/>
        </w:numPr>
        <w:spacing w:after="203"/>
        <w:ind w:hanging="720"/>
      </w:pPr>
      <w:r>
        <w:t xml:space="preserve">a failure by the admission body to pay any sums due to the fund within a reasonable period after receipt of a notice from the administering authority requiring it to do so </w:t>
      </w:r>
    </w:p>
    <w:p w14:paraId="4F6F94C5" w14:textId="2625F207" w:rsidR="004F511F" w:rsidRDefault="000F0AB3" w:rsidP="00F76060">
      <w:pPr>
        <w:pStyle w:val="Heading2"/>
      </w:pPr>
      <w:r>
        <w:t xml:space="preserve">7.2 Our </w:t>
      </w:r>
      <w:r w:rsidR="00071B03">
        <w:t xml:space="preserve">Policy </w:t>
      </w:r>
    </w:p>
    <w:p w14:paraId="6FAAD0BE" w14:textId="01D9D600" w:rsidR="004F511F" w:rsidRDefault="00E87F38" w:rsidP="000F0AB3">
      <w:pPr>
        <w:spacing w:after="0" w:line="259" w:lineRule="auto"/>
        <w:ind w:left="1" w:firstLine="0"/>
        <w:jc w:val="left"/>
      </w:pPr>
      <w:r>
        <w:t xml:space="preserve">Our </w:t>
      </w:r>
      <w:r w:rsidR="00071B03">
        <w:t xml:space="preserve">admission agreements will include the option for an admission agreement to be terminated by the Fund in any of, but not limited to, the following circumstances where the admission body:  </w:t>
      </w:r>
    </w:p>
    <w:p w14:paraId="0065746F" w14:textId="77777777" w:rsidR="000F0AB3" w:rsidRDefault="000F0AB3" w:rsidP="00F76060">
      <w:pPr>
        <w:spacing w:after="0" w:line="259" w:lineRule="auto"/>
        <w:ind w:left="1" w:firstLine="0"/>
        <w:jc w:val="left"/>
      </w:pPr>
    </w:p>
    <w:p w14:paraId="0716F9F2" w14:textId="77777777" w:rsidR="004F511F" w:rsidRDefault="00071B03">
      <w:pPr>
        <w:numPr>
          <w:ilvl w:val="0"/>
          <w:numId w:val="16"/>
        </w:numPr>
        <w:ind w:left="709" w:hanging="360"/>
      </w:pPr>
      <w:r>
        <w:lastRenderedPageBreak/>
        <w:t xml:space="preserve">is not paying monies in a timely manner </w:t>
      </w:r>
    </w:p>
    <w:p w14:paraId="177F6234" w14:textId="77777777" w:rsidR="004F511F" w:rsidRDefault="00071B03">
      <w:pPr>
        <w:spacing w:after="52" w:line="259" w:lineRule="auto"/>
        <w:ind w:left="709" w:firstLine="0"/>
        <w:jc w:val="left"/>
      </w:pPr>
      <w:r>
        <w:t xml:space="preserve"> </w:t>
      </w:r>
    </w:p>
    <w:p w14:paraId="0CE71B97" w14:textId="77777777" w:rsidR="004F511F" w:rsidRDefault="00071B03">
      <w:pPr>
        <w:numPr>
          <w:ilvl w:val="0"/>
          <w:numId w:val="16"/>
        </w:numPr>
        <w:ind w:left="709" w:hanging="360"/>
      </w:pPr>
      <w:r>
        <w:t xml:space="preserve">is not meeting administrative requirements relating to the provision of information </w:t>
      </w:r>
    </w:p>
    <w:p w14:paraId="191A3A43" w14:textId="77777777" w:rsidR="004F511F" w:rsidRDefault="00071B03">
      <w:pPr>
        <w:spacing w:after="50" w:line="259" w:lineRule="auto"/>
        <w:ind w:left="709" w:firstLine="0"/>
        <w:jc w:val="left"/>
      </w:pPr>
      <w:r>
        <w:t xml:space="preserve"> </w:t>
      </w:r>
    </w:p>
    <w:p w14:paraId="1E39DDFB" w14:textId="77777777" w:rsidR="004F511F" w:rsidRDefault="00071B03">
      <w:pPr>
        <w:numPr>
          <w:ilvl w:val="0"/>
          <w:numId w:val="16"/>
        </w:numPr>
        <w:ind w:left="709" w:hanging="360"/>
      </w:pPr>
      <w:r>
        <w:t xml:space="preserve">is not meeting its requirement to provide or review any bond/indemnity or guarantor </w:t>
      </w:r>
    </w:p>
    <w:p w14:paraId="2D059E28" w14:textId="77777777" w:rsidR="004F511F" w:rsidRDefault="00071B03">
      <w:pPr>
        <w:spacing w:after="50" w:line="259" w:lineRule="auto"/>
        <w:ind w:left="709" w:firstLine="0"/>
        <w:jc w:val="left"/>
      </w:pPr>
      <w:r>
        <w:t xml:space="preserve"> </w:t>
      </w:r>
    </w:p>
    <w:p w14:paraId="4B91324E" w14:textId="77777777" w:rsidR="004F511F" w:rsidRDefault="00071B03">
      <w:pPr>
        <w:numPr>
          <w:ilvl w:val="0"/>
          <w:numId w:val="16"/>
        </w:numPr>
        <w:ind w:left="709" w:hanging="360"/>
      </w:pPr>
      <w:r>
        <w:t xml:space="preserve">experiences insolvency, winding up or liquidation </w:t>
      </w:r>
    </w:p>
    <w:p w14:paraId="1C43C902" w14:textId="77777777" w:rsidR="004F511F" w:rsidRDefault="00071B03">
      <w:pPr>
        <w:spacing w:after="31" w:line="259" w:lineRule="auto"/>
        <w:ind w:left="709" w:firstLine="0"/>
        <w:jc w:val="left"/>
      </w:pPr>
      <w:r>
        <w:t xml:space="preserve"> </w:t>
      </w:r>
    </w:p>
    <w:p w14:paraId="6F831010" w14:textId="77777777" w:rsidR="004F511F" w:rsidRDefault="00071B03">
      <w:pPr>
        <w:numPr>
          <w:ilvl w:val="0"/>
          <w:numId w:val="16"/>
        </w:numPr>
        <w:ind w:left="709" w:hanging="360"/>
      </w:pPr>
      <w:r>
        <w:t xml:space="preserve">is merged or ceases to exist, or ceases to be an admission body or fails to meet the terms of its agreement and does not remedy this in a reasonable time  </w:t>
      </w:r>
    </w:p>
    <w:p w14:paraId="120C3AD0" w14:textId="77777777" w:rsidR="004F511F" w:rsidRDefault="00071B03">
      <w:pPr>
        <w:spacing w:after="31" w:line="259" w:lineRule="auto"/>
        <w:ind w:left="710" w:firstLine="0"/>
        <w:jc w:val="left"/>
      </w:pPr>
      <w:r>
        <w:t xml:space="preserve"> </w:t>
      </w:r>
    </w:p>
    <w:p w14:paraId="7A3900EB" w14:textId="77777777" w:rsidR="004F511F" w:rsidRDefault="00071B03">
      <w:pPr>
        <w:numPr>
          <w:ilvl w:val="0"/>
          <w:numId w:val="16"/>
        </w:numPr>
        <w:spacing w:after="201"/>
        <w:ind w:left="709" w:hanging="360"/>
      </w:pPr>
      <w:r>
        <w:t xml:space="preserve">has no further active members, and considering each case on its merits the administering authority decides not to issue a suspension notice or enter into a deferred debt agreement (or upon termination of an existing suspension notice or deferred debt agreement).   </w:t>
      </w:r>
    </w:p>
    <w:p w14:paraId="77E542E2" w14:textId="2C4B4518" w:rsidR="004F511F" w:rsidRDefault="00E87F38">
      <w:pPr>
        <w:pStyle w:val="Heading2"/>
        <w:ind w:left="-3"/>
      </w:pPr>
      <w:bookmarkStart w:id="6" w:name="_Toc20516"/>
      <w:r>
        <w:t xml:space="preserve">7.3 </w:t>
      </w:r>
      <w:r w:rsidR="00071B03">
        <w:t>Termination valuations</w:t>
      </w:r>
      <w:bookmarkEnd w:id="6"/>
    </w:p>
    <w:p w14:paraId="41CE2BBE" w14:textId="757F5F2F" w:rsidR="004F511F" w:rsidRDefault="00071B03" w:rsidP="00E87F38">
      <w:pPr>
        <w:spacing w:after="0" w:line="259" w:lineRule="auto"/>
        <w:ind w:left="1" w:firstLine="0"/>
        <w:jc w:val="left"/>
      </w:pPr>
      <w:r>
        <w:t xml:space="preserve">Where an admission agreement terminates, and no suspension notice is issued or deferred debt agreement entered into, the Regulations require that </w:t>
      </w:r>
      <w:r w:rsidR="00E87F38">
        <w:t>we</w:t>
      </w:r>
      <w:r>
        <w:t xml:space="preserve"> obtain a valuation as at the exit date</w:t>
      </w:r>
      <w:r w:rsidR="00E87F38">
        <w:t xml:space="preserve"> </w:t>
      </w:r>
      <w:r>
        <w:t xml:space="preserve">and a revised rates and adjustment certificate showing the exit payment due from the exiting employer or the excess of assets in the Fund relating to that employer in respect of those benefits. </w:t>
      </w:r>
    </w:p>
    <w:p w14:paraId="209DA7B9" w14:textId="77777777" w:rsidR="00E87F38" w:rsidRDefault="00E87F38" w:rsidP="00F76060">
      <w:pPr>
        <w:spacing w:after="0" w:line="259" w:lineRule="auto"/>
        <w:ind w:left="1" w:firstLine="0"/>
        <w:jc w:val="left"/>
      </w:pPr>
    </w:p>
    <w:p w14:paraId="03E8E92B" w14:textId="21806FB7" w:rsidR="00E87F38" w:rsidRDefault="00071B03" w:rsidP="00E87F38">
      <w:pPr>
        <w:spacing w:after="0" w:line="259" w:lineRule="auto"/>
        <w:ind w:left="1" w:firstLine="0"/>
        <w:jc w:val="left"/>
      </w:pPr>
      <w:r>
        <w:t>The termination valuation is ca</w:t>
      </w:r>
      <w:r w:rsidR="00E87F38">
        <w:t xml:space="preserve">rried out </w:t>
      </w:r>
      <w:r>
        <w:t>by the Fund Actuary hav</w:t>
      </w:r>
      <w:r w:rsidR="00E87F38">
        <w:t xml:space="preserve">ing </w:t>
      </w:r>
      <w:r>
        <w:t xml:space="preserve">regard to </w:t>
      </w:r>
      <w:r w:rsidR="00E87F38">
        <w:t>our policy on exit valuations as set out in our</w:t>
      </w:r>
      <w:r>
        <w:t xml:space="preserve"> FSS. </w:t>
      </w:r>
    </w:p>
    <w:p w14:paraId="4870E09E" w14:textId="77777777" w:rsidR="00E87F38" w:rsidRDefault="00E87F38" w:rsidP="00E87F38">
      <w:pPr>
        <w:spacing w:after="0" w:line="259" w:lineRule="auto"/>
        <w:ind w:left="1" w:firstLine="0"/>
        <w:jc w:val="left"/>
      </w:pPr>
    </w:p>
    <w:p w14:paraId="306104E3" w14:textId="64930FF5" w:rsidR="00E87F38" w:rsidRDefault="00E87F38" w:rsidP="00F76060">
      <w:pPr>
        <w:pStyle w:val="Heading3"/>
      </w:pPr>
      <w:r>
        <w:t>7.3.1 where pass through applies</w:t>
      </w:r>
    </w:p>
    <w:p w14:paraId="01F68FEF" w14:textId="09F71A3B" w:rsidR="00E87F38" w:rsidRDefault="00E87F38" w:rsidP="00E87F38">
      <w:pPr>
        <w:spacing w:after="0" w:line="259" w:lineRule="auto"/>
        <w:ind w:left="1" w:firstLine="0"/>
        <w:jc w:val="left"/>
      </w:pPr>
      <w:r>
        <w:t xml:space="preserve">Where our default pass-through arrangement is in place, on termination of the admission agreement the Actuary will prepare a “nil exit valuation” and there will be no exit payment due from, nor an exit credit due to, the admission body. </w:t>
      </w:r>
      <w:r w:rsidR="00C96CE5">
        <w:t xml:space="preserve">However where there is elements of the risk share that is deemed in the control of the employer these will be liabilities of the employer to fund. </w:t>
      </w:r>
      <w:r>
        <w:t>The letting authority will continue to be responsible for the funding of the liabilities of the admission body’s former employees once the agreement has ceased.</w:t>
      </w:r>
    </w:p>
    <w:p w14:paraId="76DA3A5F" w14:textId="77777777" w:rsidR="00E87F38" w:rsidRDefault="00E87F38" w:rsidP="00E87F38">
      <w:pPr>
        <w:spacing w:after="0" w:line="259" w:lineRule="auto"/>
        <w:ind w:left="1" w:firstLine="0"/>
        <w:jc w:val="left"/>
      </w:pPr>
    </w:p>
    <w:p w14:paraId="10E9925B" w14:textId="2DE775F9" w:rsidR="00E87F38" w:rsidRPr="00F76060" w:rsidRDefault="00E87F38" w:rsidP="00E87F38">
      <w:pPr>
        <w:spacing w:after="0" w:line="259" w:lineRule="auto"/>
        <w:ind w:left="1" w:firstLine="0"/>
        <w:jc w:val="left"/>
        <w:rPr>
          <w:b/>
          <w:bCs/>
        </w:rPr>
      </w:pPr>
      <w:r w:rsidRPr="00F76060">
        <w:rPr>
          <w:b/>
          <w:bCs/>
        </w:rPr>
        <w:t>7.3.2 where pass through does not apply</w:t>
      </w:r>
    </w:p>
    <w:p w14:paraId="01998F9D" w14:textId="77777777" w:rsidR="00E87F38" w:rsidRDefault="00E87F38" w:rsidP="00E87F38">
      <w:pPr>
        <w:spacing w:after="0" w:line="259" w:lineRule="auto"/>
        <w:ind w:left="1" w:firstLine="0"/>
        <w:jc w:val="left"/>
      </w:pPr>
    </w:p>
    <w:p w14:paraId="0D1D55EC" w14:textId="4B3AC34A" w:rsidR="00AB060E" w:rsidRDefault="00E87F38" w:rsidP="00F76060">
      <w:pPr>
        <w:spacing w:after="0" w:line="259" w:lineRule="auto"/>
        <w:jc w:val="left"/>
      </w:pPr>
      <w:r>
        <w:t xml:space="preserve">Our </w:t>
      </w:r>
      <w:r w:rsidR="00071B03">
        <w:t xml:space="preserve">general principle is to assume a “clean break” on termination as the departing employer’s liability to make further contributions to the Fund is extinguished on payment of the exit payment. </w:t>
      </w:r>
      <w:r w:rsidR="00AB060E">
        <w:t xml:space="preserve"> How the liabilities are assessed will depend on a number of factors, including what will happen to the liabilities post-exit, i.e. will they be funded by an ongoing employer in the Fund or become orphan, i.e. there is no ongoing employer to fund those liabilities?</w:t>
      </w:r>
    </w:p>
    <w:p w14:paraId="4BEEE51F" w14:textId="77777777" w:rsidR="00AB060E" w:rsidRDefault="00AB060E" w:rsidP="00F76060">
      <w:pPr>
        <w:spacing w:after="0" w:line="259" w:lineRule="auto"/>
        <w:jc w:val="left"/>
      </w:pPr>
    </w:p>
    <w:p w14:paraId="00EBCC32" w14:textId="71DB37FE" w:rsidR="00AB060E" w:rsidRDefault="00071B03" w:rsidP="00AB060E">
      <w:pPr>
        <w:spacing w:after="203"/>
        <w:ind w:left="-3"/>
      </w:pPr>
      <w:r>
        <w:t xml:space="preserve">The Fund’s policy in relation to the calculation of </w:t>
      </w:r>
      <w:r w:rsidR="00AB060E">
        <w:t xml:space="preserve">the liability on an employer’s exit is set out in the Funding Strategy Statement. </w:t>
      </w:r>
    </w:p>
    <w:p w14:paraId="4755257F" w14:textId="3C5A2D4F" w:rsidR="004F511F" w:rsidRPr="00AB060E" w:rsidRDefault="00AB060E" w:rsidP="00D562B3">
      <w:pPr>
        <w:pStyle w:val="Heading2"/>
      </w:pPr>
      <w:r w:rsidRPr="00AB060E">
        <w:t xml:space="preserve">7.4 </w:t>
      </w:r>
      <w:bookmarkStart w:id="7" w:name="_Toc20517"/>
      <w:r w:rsidR="00071B03" w:rsidRPr="00AB060E">
        <w:t xml:space="preserve">Payment of cessation deficit </w:t>
      </w:r>
      <w:bookmarkEnd w:id="7"/>
    </w:p>
    <w:p w14:paraId="09723452" w14:textId="77777777" w:rsidR="00B46868" w:rsidRDefault="00B46868" w:rsidP="00B46868">
      <w:pPr>
        <w:spacing w:after="19" w:line="256" w:lineRule="auto"/>
        <w:jc w:val="left"/>
      </w:pPr>
      <w:r>
        <w:t xml:space="preserve">Where an exit payment is due, this can be paid by the exiting employer over such period of time as we (the administering authority) consider reasonable.  Our general policy is to collect the exit payment by way of a lump sum where the exiting admission body is making the payment.  </w:t>
      </w:r>
    </w:p>
    <w:p w14:paraId="7D4DE1B6" w14:textId="77777777" w:rsidR="00B46868" w:rsidRDefault="00B46868" w:rsidP="00B46868">
      <w:pPr>
        <w:spacing w:after="19" w:line="256" w:lineRule="auto"/>
        <w:jc w:val="left"/>
      </w:pPr>
    </w:p>
    <w:p w14:paraId="2FD8FE9A" w14:textId="77777777" w:rsidR="00B46868" w:rsidRDefault="00B46868" w:rsidP="00B46868">
      <w:pPr>
        <w:spacing w:after="201"/>
        <w:ind w:left="-3"/>
      </w:pPr>
      <w:r>
        <w:t xml:space="preserve">However, should it not be possible for the employer to settle this amount in full, we </w:t>
      </w:r>
      <w:r>
        <w:rPr>
          <w:i/>
          <w:iCs/>
        </w:rPr>
        <w:t>may</w:t>
      </w:r>
      <w:r>
        <w:t xml:space="preserve"> agree a Deferred Debt Agreement (DDA) or Deficit Spreading Arrangement (DSA). Further information is provided within our Funding Strategy Statement/ DDA and DSA policies.</w:t>
      </w:r>
    </w:p>
    <w:p w14:paraId="32AC1A9C" w14:textId="77777777" w:rsidR="00B46868" w:rsidRDefault="00B46868" w:rsidP="00B46868">
      <w:pPr>
        <w:spacing w:after="201"/>
        <w:ind w:left="-3"/>
      </w:pPr>
      <w:r>
        <w:t xml:space="preserve">In other circumstances where the admission body is unable to pay the full amount due, we will seek to recover any outstanding payment from any bond or indemnity in the first instance, and then from any guarantor. </w:t>
      </w:r>
    </w:p>
    <w:p w14:paraId="0F85A326" w14:textId="77777777" w:rsidR="00B46868" w:rsidRDefault="00B46868" w:rsidP="00B46868">
      <w:pPr>
        <w:spacing w:after="215"/>
        <w:ind w:left="-3"/>
      </w:pPr>
      <w:r>
        <w:t xml:space="preserve">If any outstanding payment remains, once any bond, indemnity or guarantor has been exhausted, it will be recovered as follows: </w:t>
      </w:r>
    </w:p>
    <w:p w14:paraId="14D09F6E" w14:textId="77777777" w:rsidR="00B46868" w:rsidRDefault="00B46868" w:rsidP="00B46868">
      <w:pPr>
        <w:numPr>
          <w:ilvl w:val="0"/>
          <w:numId w:val="38"/>
        </w:numPr>
        <w:spacing w:line="268" w:lineRule="auto"/>
      </w:pPr>
      <w:r>
        <w:rPr>
          <w:b/>
          <w:bCs/>
        </w:rPr>
        <w:t>For transferee admission bodies,</w:t>
      </w:r>
      <w:r>
        <w:t xml:space="preserve"> from the Scheme employer who let the contract. </w:t>
      </w:r>
    </w:p>
    <w:p w14:paraId="22810266" w14:textId="77777777" w:rsidR="00B46868" w:rsidRDefault="00B46868" w:rsidP="00B46868">
      <w:pPr>
        <w:spacing w:after="33" w:line="256" w:lineRule="auto"/>
        <w:ind w:left="721" w:firstLine="0"/>
        <w:jc w:val="left"/>
      </w:pPr>
      <w:r>
        <w:t xml:space="preserve"> </w:t>
      </w:r>
    </w:p>
    <w:p w14:paraId="4A45C8D0" w14:textId="77777777" w:rsidR="00B46868" w:rsidRDefault="00B46868" w:rsidP="00B46868">
      <w:pPr>
        <w:numPr>
          <w:ilvl w:val="0"/>
          <w:numId w:val="38"/>
        </w:numPr>
        <w:spacing w:line="268" w:lineRule="auto"/>
      </w:pPr>
      <w:r>
        <w:rPr>
          <w:b/>
          <w:bCs/>
        </w:rPr>
        <w:t>For community admission bodies</w:t>
      </w:r>
      <w:r>
        <w:t xml:space="preserve">, from all ongoing employers, via an adjustment at each triennial valuation </w:t>
      </w:r>
    </w:p>
    <w:p w14:paraId="7235B185" w14:textId="77777777" w:rsidR="00B46868" w:rsidRDefault="00B46868" w:rsidP="00B46868">
      <w:pPr>
        <w:spacing w:after="16" w:line="256" w:lineRule="auto"/>
        <w:jc w:val="left"/>
      </w:pPr>
    </w:p>
    <w:p w14:paraId="10E832FB" w14:textId="77777777" w:rsidR="00B46868" w:rsidRDefault="00B46868" w:rsidP="00B46868">
      <w:pPr>
        <w:spacing w:after="203"/>
        <w:ind w:left="-3"/>
      </w:pPr>
      <w:r>
        <w:t xml:space="preserve">We will always seek to maximise the monies recoverable in order to protect the remaining employers in the Fund. In exceptional circumstances, this may result in an admission body paying less than the full termination deficit. Any such cases will be subject to approval by the Section 151 officer. </w:t>
      </w:r>
    </w:p>
    <w:p w14:paraId="36F87DCF" w14:textId="77777777" w:rsidR="00B46868" w:rsidRDefault="00B46868" w:rsidP="00B46868">
      <w:pPr>
        <w:spacing w:after="203"/>
        <w:ind w:left="-3"/>
      </w:pPr>
      <w:r>
        <w:t xml:space="preserve">The administering authority has discretion to determine the amount of any exit credit payable to an </w:t>
      </w:r>
      <w:proofErr w:type="spellStart"/>
      <w:r>
        <w:t>exiting</w:t>
      </w:r>
      <w:proofErr w:type="spellEnd"/>
      <w:r>
        <w:t xml:space="preserve"> employer where a surplus is identified on cessation. Guidance on the payment of exit credits can be found in the Fund’s Funding Strategy Statement (and associated Employer Exit Policy). </w:t>
      </w:r>
    </w:p>
    <w:p w14:paraId="0F66BDE6" w14:textId="7A8A87D1" w:rsidR="004F511F" w:rsidRDefault="007233A3" w:rsidP="007233A3">
      <w:pPr>
        <w:pStyle w:val="Heading1"/>
      </w:pPr>
      <w:r>
        <w:t>Approval and Review</w:t>
      </w:r>
    </w:p>
    <w:p w14:paraId="1BC69E09" w14:textId="77777777" w:rsidR="007233A3" w:rsidRPr="007233A3" w:rsidRDefault="007233A3" w:rsidP="00F76060"/>
    <w:p w14:paraId="2E94E22A" w14:textId="729E69D9" w:rsidR="007233A3" w:rsidRDefault="007233A3" w:rsidP="007233A3">
      <w:pPr>
        <w:spacing w:after="203"/>
        <w:ind w:left="-3"/>
      </w:pPr>
      <w:r>
        <w:t xml:space="preserve">This policy </w:t>
      </w:r>
      <w:r w:rsidR="00A4138D">
        <w:t xml:space="preserve">was </w:t>
      </w:r>
      <w:r w:rsidR="00EC386C">
        <w:t xml:space="preserve">consulted on with all employers in the Fund and </w:t>
      </w:r>
      <w:r w:rsidR="00A4138D">
        <w:t xml:space="preserve">approved by the Pensions Committee on 9 July 2025.  It </w:t>
      </w:r>
      <w:r>
        <w:t xml:space="preserve">will be reviewed from time to time as required and </w:t>
      </w:r>
      <w:r w:rsidR="00A4138D">
        <w:t xml:space="preserve">at least </w:t>
      </w:r>
      <w:r>
        <w:t xml:space="preserve">every three years </w:t>
      </w:r>
      <w:r w:rsidR="00A4138D">
        <w:t>alongside the review of the Funding Strategy Statement</w:t>
      </w:r>
      <w:r>
        <w:t xml:space="preserve">.   </w:t>
      </w:r>
    </w:p>
    <w:p w14:paraId="20B52D7E" w14:textId="35E36DE7" w:rsidR="007233A3" w:rsidRDefault="007233A3" w:rsidP="007233A3">
      <w:pPr>
        <w:spacing w:after="259"/>
        <w:ind w:left="-3"/>
      </w:pPr>
      <w:r>
        <w:t xml:space="preserve">Any queries should be directed in the first instance to the London Borough of Newham Pension Manager.   </w:t>
      </w:r>
    </w:p>
    <w:p w14:paraId="7021ECC5" w14:textId="77777777" w:rsidR="00026AE3" w:rsidRDefault="00026AE3" w:rsidP="00026AE3">
      <w:pPr>
        <w:spacing w:after="0" w:line="259" w:lineRule="auto"/>
        <w:jc w:val="left"/>
      </w:pPr>
    </w:p>
    <w:p w14:paraId="7B097123" w14:textId="77777777" w:rsidR="00026AE3" w:rsidRDefault="00026AE3" w:rsidP="00026AE3">
      <w:pPr>
        <w:spacing w:after="0" w:line="259" w:lineRule="auto"/>
        <w:jc w:val="left"/>
      </w:pPr>
    </w:p>
    <w:p w14:paraId="720AAE74" w14:textId="1684ADBA" w:rsidR="004F511F" w:rsidRPr="00026AE3" w:rsidRDefault="00026AE3" w:rsidP="00026AE3">
      <w:pPr>
        <w:spacing w:after="0" w:line="259" w:lineRule="auto"/>
        <w:jc w:val="left"/>
        <w:rPr>
          <w:b/>
        </w:rPr>
      </w:pPr>
      <w:r w:rsidRPr="00026AE3">
        <w:rPr>
          <w:b/>
        </w:rPr>
        <w:t>Key Contacts</w:t>
      </w:r>
    </w:p>
    <w:p w14:paraId="2DA55655" w14:textId="478C4E9D" w:rsidR="00026AE3" w:rsidRDefault="00026AE3" w:rsidP="00026AE3">
      <w:pPr>
        <w:spacing w:after="0" w:line="259" w:lineRule="auto"/>
        <w:jc w:val="left"/>
      </w:pPr>
    </w:p>
    <w:p w14:paraId="304D4B2E" w14:textId="7D6625D9" w:rsidR="00026AE3" w:rsidRDefault="00026AE3" w:rsidP="00026AE3">
      <w:pPr>
        <w:spacing w:after="0" w:line="259" w:lineRule="auto"/>
        <w:jc w:val="left"/>
      </w:pPr>
      <w:r>
        <w:t>Jacqueline Andress – Pensions Projects and Contracts Manager</w:t>
      </w:r>
    </w:p>
    <w:p w14:paraId="6CB0BEF7" w14:textId="60727CC8" w:rsidR="00026AE3" w:rsidRDefault="00026AE3" w:rsidP="00026AE3">
      <w:pPr>
        <w:spacing w:after="0" w:line="259" w:lineRule="auto"/>
        <w:jc w:val="left"/>
      </w:pPr>
      <w:hyperlink r:id="rId13" w:history="1">
        <w:r w:rsidRPr="00577A6D">
          <w:rPr>
            <w:rStyle w:val="Hyperlink"/>
          </w:rPr>
          <w:t>Jacqueline.Andress@newham.gov.uk</w:t>
        </w:r>
      </w:hyperlink>
    </w:p>
    <w:p w14:paraId="39F048AF" w14:textId="737E70C3" w:rsidR="00026AE3" w:rsidRDefault="00026AE3" w:rsidP="00026AE3">
      <w:pPr>
        <w:spacing w:after="0" w:line="259" w:lineRule="auto"/>
        <w:jc w:val="left"/>
      </w:pPr>
      <w:r>
        <w:t>020 373 39658</w:t>
      </w:r>
    </w:p>
    <w:p w14:paraId="54B8D7CF" w14:textId="660BAC4E" w:rsidR="00026AE3" w:rsidRDefault="00026AE3" w:rsidP="00026AE3">
      <w:pPr>
        <w:spacing w:after="0" w:line="259" w:lineRule="auto"/>
        <w:jc w:val="left"/>
      </w:pPr>
    </w:p>
    <w:p w14:paraId="68DE1994" w14:textId="4710F2C0" w:rsidR="00026AE3" w:rsidRDefault="00026AE3" w:rsidP="00026AE3">
      <w:pPr>
        <w:spacing w:after="0" w:line="259" w:lineRule="auto"/>
        <w:jc w:val="left"/>
      </w:pPr>
      <w:r>
        <w:t>James Cocks – Assistant Director of Transactional People Services (Scheme Manager Representative)</w:t>
      </w:r>
    </w:p>
    <w:p w14:paraId="703D9AAC" w14:textId="1039799E" w:rsidR="00026AE3" w:rsidRDefault="00026AE3" w:rsidP="00026AE3">
      <w:pPr>
        <w:spacing w:after="0" w:line="259" w:lineRule="auto"/>
        <w:jc w:val="left"/>
      </w:pPr>
      <w:hyperlink r:id="rId14" w:history="1">
        <w:r w:rsidRPr="00577A6D">
          <w:rPr>
            <w:rStyle w:val="Hyperlink"/>
          </w:rPr>
          <w:t>James.Cocks@oneSource.co.uk</w:t>
        </w:r>
      </w:hyperlink>
    </w:p>
    <w:p w14:paraId="2584AAEE" w14:textId="1C393FF9" w:rsidR="00026AE3" w:rsidRDefault="00026AE3" w:rsidP="00026AE3">
      <w:pPr>
        <w:spacing w:after="0" w:line="259" w:lineRule="auto"/>
        <w:jc w:val="left"/>
      </w:pPr>
      <w:r>
        <w:t>01708 432266</w:t>
      </w:r>
    </w:p>
    <w:sectPr w:rsidR="00026AE3" w:rsidSect="002D00A5">
      <w:footerReference w:type="even" r:id="rId15"/>
      <w:footerReference w:type="default" r:id="rId16"/>
      <w:footerReference w:type="first" r:id="rId17"/>
      <w:pgSz w:w="11906" w:h="16838"/>
      <w:pgMar w:top="1481" w:right="1435" w:bottom="1142" w:left="1439" w:header="720" w:footer="473"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53E6" w14:textId="77777777" w:rsidR="00B04FD5" w:rsidRDefault="00071B03">
      <w:pPr>
        <w:spacing w:after="0" w:line="240" w:lineRule="auto"/>
      </w:pPr>
      <w:r>
        <w:separator/>
      </w:r>
    </w:p>
  </w:endnote>
  <w:endnote w:type="continuationSeparator" w:id="0">
    <w:p w14:paraId="321C94A4" w14:textId="77777777" w:rsidR="00B04FD5" w:rsidRDefault="0007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7098" w14:textId="77777777" w:rsidR="004F511F" w:rsidRDefault="004F511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DC7F" w14:textId="77777777" w:rsidR="004F511F" w:rsidRDefault="004F511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FD9D" w14:textId="77777777" w:rsidR="004F511F" w:rsidRDefault="004F511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F792" w14:textId="77777777" w:rsidR="004F511F" w:rsidRDefault="00071B03">
    <w:pPr>
      <w:spacing w:after="0" w:line="259" w:lineRule="auto"/>
      <w:ind w:left="0" w:right="5" w:firstLine="0"/>
      <w:jc w:val="right"/>
    </w:pPr>
    <w:r>
      <w:fldChar w:fldCharType="begin"/>
    </w:r>
    <w:r>
      <w:instrText xml:space="preserve"> PAGE   \* MERGEFORMAT </w:instrText>
    </w:r>
    <w:r>
      <w:fldChar w:fldCharType="separate"/>
    </w:r>
    <w:r>
      <w:t>2</w:t>
    </w:r>
    <w:r>
      <w:fldChar w:fldCharType="end"/>
    </w:r>
    <w:r>
      <w:t xml:space="preserve"> </w:t>
    </w:r>
  </w:p>
  <w:p w14:paraId="36874ADF" w14:textId="77777777" w:rsidR="004F511F" w:rsidRDefault="00071B03">
    <w:pPr>
      <w:spacing w:after="0" w:line="259" w:lineRule="auto"/>
      <w:ind w:left="0" w:right="-45" w:firstLine="0"/>
      <w:jc w:val="right"/>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CA4B" w14:textId="2509ABF9" w:rsidR="004F511F" w:rsidRDefault="00071B03">
    <w:pPr>
      <w:spacing w:after="0" w:line="259" w:lineRule="auto"/>
      <w:ind w:left="0" w:right="5" w:firstLine="0"/>
      <w:jc w:val="right"/>
    </w:pPr>
    <w:r>
      <w:fldChar w:fldCharType="begin"/>
    </w:r>
    <w:r>
      <w:instrText xml:space="preserve"> PAGE   \* MERGEFORMAT </w:instrText>
    </w:r>
    <w:r>
      <w:fldChar w:fldCharType="separate"/>
    </w:r>
    <w:r w:rsidR="007F22A1">
      <w:rPr>
        <w:noProof/>
      </w:rPr>
      <w:t>12</w:t>
    </w:r>
    <w:r>
      <w:fldChar w:fldCharType="end"/>
    </w:r>
    <w:r>
      <w:t xml:space="preserve"> </w:t>
    </w:r>
  </w:p>
  <w:p w14:paraId="0A417CAF" w14:textId="77777777" w:rsidR="004F511F" w:rsidRDefault="00071B03">
    <w:pPr>
      <w:spacing w:after="0" w:line="259" w:lineRule="auto"/>
      <w:ind w:left="0" w:right="-45" w:firstLine="0"/>
      <w:jc w:val="right"/>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B7E7" w14:textId="77777777" w:rsidR="004F511F" w:rsidRDefault="00071B03">
    <w:pPr>
      <w:spacing w:after="0" w:line="259" w:lineRule="auto"/>
      <w:ind w:left="0" w:right="5" w:firstLine="0"/>
      <w:jc w:val="right"/>
    </w:pPr>
    <w:r>
      <w:fldChar w:fldCharType="begin"/>
    </w:r>
    <w:r>
      <w:instrText xml:space="preserve"> PAGE   \* MERGEFORMAT </w:instrText>
    </w:r>
    <w:r>
      <w:fldChar w:fldCharType="separate"/>
    </w:r>
    <w:r>
      <w:t>2</w:t>
    </w:r>
    <w:r>
      <w:fldChar w:fldCharType="end"/>
    </w:r>
    <w:r>
      <w:t xml:space="preserve"> </w:t>
    </w:r>
  </w:p>
  <w:p w14:paraId="237ED2C4" w14:textId="77777777" w:rsidR="004F511F" w:rsidRDefault="00071B03">
    <w:pPr>
      <w:spacing w:after="0" w:line="259" w:lineRule="auto"/>
      <w:ind w:left="0" w:right="-45" w:firstLine="0"/>
      <w:jc w:val="righ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E8CB" w14:textId="77777777" w:rsidR="00B04FD5" w:rsidRDefault="00071B03">
      <w:pPr>
        <w:spacing w:after="0" w:line="240" w:lineRule="auto"/>
      </w:pPr>
      <w:r>
        <w:separator/>
      </w:r>
    </w:p>
  </w:footnote>
  <w:footnote w:type="continuationSeparator" w:id="0">
    <w:p w14:paraId="2DA05567" w14:textId="77777777" w:rsidR="00B04FD5" w:rsidRDefault="00071B03">
      <w:pPr>
        <w:spacing w:after="0" w:line="240" w:lineRule="auto"/>
      </w:pPr>
      <w:r>
        <w:continuationSeparator/>
      </w:r>
    </w:p>
  </w:footnote>
  <w:footnote w:id="1">
    <w:p w14:paraId="1096B8F8" w14:textId="6138F33C" w:rsidR="006B7DF7" w:rsidRDefault="006B7DF7">
      <w:pPr>
        <w:pStyle w:val="FootnoteText"/>
      </w:pPr>
      <w:r>
        <w:rPr>
          <w:rStyle w:val="FootnoteReference"/>
        </w:rPr>
        <w:footnoteRef/>
      </w:r>
      <w:r>
        <w:t>The Local Government Pension Scheme Regulations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BCD1" w14:textId="77777777" w:rsidR="0070038B" w:rsidRDefault="0070038B" w:rsidP="002E6E60">
    <w:pPr>
      <w:pStyle w:val="Header"/>
    </w:pPr>
  </w:p>
  <w:p w14:paraId="369B562C" w14:textId="77777777" w:rsidR="002E6E60" w:rsidRPr="002E6E60" w:rsidRDefault="002E6E60" w:rsidP="002E6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094"/>
    <w:multiLevelType w:val="hybridMultilevel"/>
    <w:tmpl w:val="54FEEB80"/>
    <w:lvl w:ilvl="0" w:tplc="2002747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E9C12">
      <w:start w:val="1"/>
      <w:numFmt w:val="bullet"/>
      <w:lvlText w:val="-"/>
      <w:lvlJc w:val="left"/>
      <w:pPr>
        <w:ind w:left="1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305742">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6F86E">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DCC90E">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70437A">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185558">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E0A222">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26B896">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DE2469"/>
    <w:multiLevelType w:val="hybridMultilevel"/>
    <w:tmpl w:val="2944644E"/>
    <w:lvl w:ilvl="0" w:tplc="6DB2E45A">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6C22F2">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82EA0A">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A8C5A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8DE8C">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54DA32">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FEBE5C">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E6452">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7A9E6A">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657938"/>
    <w:multiLevelType w:val="hybridMultilevel"/>
    <w:tmpl w:val="66728500"/>
    <w:lvl w:ilvl="0" w:tplc="0809000F">
      <w:start w:val="1"/>
      <w:numFmt w:val="decimal"/>
      <w:lvlText w:val="%1."/>
      <w:lvlJc w:val="left"/>
      <w:pPr>
        <w:ind w:left="706" w:hanging="360"/>
      </w:pPr>
    </w:lvl>
    <w:lvl w:ilvl="1" w:tplc="08090019" w:tentative="1">
      <w:start w:val="1"/>
      <w:numFmt w:val="lowerLetter"/>
      <w:lvlText w:val="%2."/>
      <w:lvlJc w:val="left"/>
      <w:pPr>
        <w:ind w:left="1426" w:hanging="360"/>
      </w:pPr>
    </w:lvl>
    <w:lvl w:ilvl="2" w:tplc="0809001B" w:tentative="1">
      <w:start w:val="1"/>
      <w:numFmt w:val="lowerRoman"/>
      <w:lvlText w:val="%3."/>
      <w:lvlJc w:val="right"/>
      <w:pPr>
        <w:ind w:left="2146" w:hanging="180"/>
      </w:pPr>
    </w:lvl>
    <w:lvl w:ilvl="3" w:tplc="0809000F" w:tentative="1">
      <w:start w:val="1"/>
      <w:numFmt w:val="decimal"/>
      <w:lvlText w:val="%4."/>
      <w:lvlJc w:val="left"/>
      <w:pPr>
        <w:ind w:left="2866" w:hanging="360"/>
      </w:pPr>
    </w:lvl>
    <w:lvl w:ilvl="4" w:tplc="08090019" w:tentative="1">
      <w:start w:val="1"/>
      <w:numFmt w:val="lowerLetter"/>
      <w:lvlText w:val="%5."/>
      <w:lvlJc w:val="left"/>
      <w:pPr>
        <w:ind w:left="3586" w:hanging="360"/>
      </w:pPr>
    </w:lvl>
    <w:lvl w:ilvl="5" w:tplc="0809001B" w:tentative="1">
      <w:start w:val="1"/>
      <w:numFmt w:val="lowerRoman"/>
      <w:lvlText w:val="%6."/>
      <w:lvlJc w:val="right"/>
      <w:pPr>
        <w:ind w:left="4306" w:hanging="180"/>
      </w:pPr>
    </w:lvl>
    <w:lvl w:ilvl="6" w:tplc="0809000F" w:tentative="1">
      <w:start w:val="1"/>
      <w:numFmt w:val="decimal"/>
      <w:lvlText w:val="%7."/>
      <w:lvlJc w:val="left"/>
      <w:pPr>
        <w:ind w:left="5026" w:hanging="360"/>
      </w:pPr>
    </w:lvl>
    <w:lvl w:ilvl="7" w:tplc="08090019" w:tentative="1">
      <w:start w:val="1"/>
      <w:numFmt w:val="lowerLetter"/>
      <w:lvlText w:val="%8."/>
      <w:lvlJc w:val="left"/>
      <w:pPr>
        <w:ind w:left="5746" w:hanging="360"/>
      </w:pPr>
    </w:lvl>
    <w:lvl w:ilvl="8" w:tplc="0809001B" w:tentative="1">
      <w:start w:val="1"/>
      <w:numFmt w:val="lowerRoman"/>
      <w:lvlText w:val="%9."/>
      <w:lvlJc w:val="right"/>
      <w:pPr>
        <w:ind w:left="6466" w:hanging="180"/>
      </w:pPr>
    </w:lvl>
  </w:abstractNum>
  <w:abstractNum w:abstractNumId="3" w15:restartNumberingAfterBreak="0">
    <w:nsid w:val="0BC35C9F"/>
    <w:multiLevelType w:val="hybridMultilevel"/>
    <w:tmpl w:val="2E200A06"/>
    <w:lvl w:ilvl="0" w:tplc="F890325C">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6446CE">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EC80A4">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FAE184">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FC8A66">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8EBB8C">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D8911C">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2A0C42">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F6C728">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DB5EB9"/>
    <w:multiLevelType w:val="hybridMultilevel"/>
    <w:tmpl w:val="73B4614A"/>
    <w:lvl w:ilvl="0" w:tplc="E0CA52B4">
      <w:start w:val="1"/>
      <w:numFmt w:val="bullet"/>
      <w:lvlText w:val="•"/>
      <w:lvlJc w:val="left"/>
      <w:pPr>
        <w:ind w:left="721"/>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5B122F9A">
      <w:start w:val="1"/>
      <w:numFmt w:val="bullet"/>
      <w:lvlText w:val="o"/>
      <w:lvlJc w:val="left"/>
      <w:pPr>
        <w:ind w:left="1441"/>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2" w:tplc="B6FC83D4">
      <w:start w:val="1"/>
      <w:numFmt w:val="bullet"/>
      <w:lvlText w:val="▪"/>
      <w:lvlJc w:val="left"/>
      <w:pPr>
        <w:ind w:left="2161"/>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3" w:tplc="CD469040">
      <w:start w:val="1"/>
      <w:numFmt w:val="bullet"/>
      <w:lvlText w:val="•"/>
      <w:lvlJc w:val="left"/>
      <w:pPr>
        <w:ind w:left="2881"/>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74460B90">
      <w:start w:val="1"/>
      <w:numFmt w:val="bullet"/>
      <w:lvlText w:val="o"/>
      <w:lvlJc w:val="left"/>
      <w:pPr>
        <w:ind w:left="3601"/>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5" w:tplc="045EE91E">
      <w:start w:val="1"/>
      <w:numFmt w:val="bullet"/>
      <w:lvlText w:val="▪"/>
      <w:lvlJc w:val="left"/>
      <w:pPr>
        <w:ind w:left="4321"/>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6" w:tplc="E6981C96">
      <w:start w:val="1"/>
      <w:numFmt w:val="bullet"/>
      <w:lvlText w:val="•"/>
      <w:lvlJc w:val="left"/>
      <w:pPr>
        <w:ind w:left="5041"/>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103C40DA">
      <w:start w:val="1"/>
      <w:numFmt w:val="bullet"/>
      <w:lvlText w:val="o"/>
      <w:lvlJc w:val="left"/>
      <w:pPr>
        <w:ind w:left="5761"/>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8" w:tplc="40F41E8A">
      <w:start w:val="1"/>
      <w:numFmt w:val="bullet"/>
      <w:lvlText w:val="▪"/>
      <w:lvlJc w:val="left"/>
      <w:pPr>
        <w:ind w:left="6481"/>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abstractNum>
  <w:abstractNum w:abstractNumId="5" w15:restartNumberingAfterBreak="0">
    <w:nsid w:val="0F1968A5"/>
    <w:multiLevelType w:val="hybridMultilevel"/>
    <w:tmpl w:val="B4FC99EE"/>
    <w:lvl w:ilvl="0" w:tplc="E3C21DDE">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E60A62">
      <w:start w:val="1"/>
      <w:numFmt w:val="bullet"/>
      <w:lvlText w:val="o"/>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50944A">
      <w:start w:val="1"/>
      <w:numFmt w:val="bullet"/>
      <w:lvlText w:val="▪"/>
      <w:lvlJc w:val="left"/>
      <w:pPr>
        <w:ind w:left="2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DABA7A">
      <w:start w:val="1"/>
      <w:numFmt w:val="bullet"/>
      <w:lvlText w:val="•"/>
      <w:lvlJc w:val="left"/>
      <w:pPr>
        <w:ind w:left="2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CC675E">
      <w:start w:val="1"/>
      <w:numFmt w:val="bullet"/>
      <w:lvlText w:val="o"/>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FC4B88">
      <w:start w:val="1"/>
      <w:numFmt w:val="bullet"/>
      <w:lvlText w:val="▪"/>
      <w:lvlJc w:val="left"/>
      <w:pPr>
        <w:ind w:left="4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444CBC">
      <w:start w:val="1"/>
      <w:numFmt w:val="bullet"/>
      <w:lvlText w:val="•"/>
      <w:lvlJc w:val="left"/>
      <w:pPr>
        <w:ind w:left="5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0D448">
      <w:start w:val="1"/>
      <w:numFmt w:val="bullet"/>
      <w:lvlText w:val="o"/>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9E6E64">
      <w:start w:val="1"/>
      <w:numFmt w:val="bullet"/>
      <w:lvlText w:val="▪"/>
      <w:lvlJc w:val="left"/>
      <w:pPr>
        <w:ind w:left="6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9D16B8"/>
    <w:multiLevelType w:val="hybridMultilevel"/>
    <w:tmpl w:val="69A8C91C"/>
    <w:lvl w:ilvl="0" w:tplc="81D2E214">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B64A14"/>
    <w:multiLevelType w:val="hybridMultilevel"/>
    <w:tmpl w:val="43E2A842"/>
    <w:lvl w:ilvl="0" w:tplc="74BCC79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62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38EB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AA11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647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BEEB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6832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DA29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7E13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B82C29"/>
    <w:multiLevelType w:val="hybridMultilevel"/>
    <w:tmpl w:val="A0486166"/>
    <w:lvl w:ilvl="0" w:tplc="E2A21EFE">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B2B93A">
      <w:start w:val="1"/>
      <w:numFmt w:val="bullet"/>
      <w:lvlText w:val="-"/>
      <w:lvlJc w:val="left"/>
      <w:pPr>
        <w:ind w:left="1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E8189A">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66B20C">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108A54">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F41F74">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E842C">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C4538C">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FA4086">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232129"/>
    <w:multiLevelType w:val="hybridMultilevel"/>
    <w:tmpl w:val="99D2759E"/>
    <w:lvl w:ilvl="0" w:tplc="CB4CCBE4">
      <w:start w:val="1"/>
      <w:numFmt w:val="bullet"/>
      <w:lvlText w:val="•"/>
      <w:lvlJc w:val="left"/>
      <w:pPr>
        <w:ind w:left="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447A40">
      <w:start w:val="1"/>
      <w:numFmt w:val="bullet"/>
      <w:lvlText w:val="o"/>
      <w:lvlJc w:val="left"/>
      <w:pPr>
        <w:ind w:left="1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EB2EC">
      <w:start w:val="1"/>
      <w:numFmt w:val="bullet"/>
      <w:lvlText w:val="▪"/>
      <w:lvlJc w:val="left"/>
      <w:pPr>
        <w:ind w:left="1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2A537E">
      <w:start w:val="1"/>
      <w:numFmt w:val="bullet"/>
      <w:lvlText w:val="•"/>
      <w:lvlJc w:val="left"/>
      <w:pPr>
        <w:ind w:left="2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1474D6">
      <w:start w:val="1"/>
      <w:numFmt w:val="bullet"/>
      <w:lvlText w:val="o"/>
      <w:lvlJc w:val="left"/>
      <w:pPr>
        <w:ind w:left="3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0E2A74">
      <w:start w:val="1"/>
      <w:numFmt w:val="bullet"/>
      <w:lvlText w:val="▪"/>
      <w:lvlJc w:val="left"/>
      <w:pPr>
        <w:ind w:left="4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021DCA">
      <w:start w:val="1"/>
      <w:numFmt w:val="bullet"/>
      <w:lvlText w:val="•"/>
      <w:lvlJc w:val="left"/>
      <w:pPr>
        <w:ind w:left="4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8CF66C">
      <w:start w:val="1"/>
      <w:numFmt w:val="bullet"/>
      <w:lvlText w:val="o"/>
      <w:lvlJc w:val="left"/>
      <w:pPr>
        <w:ind w:left="5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FA90E2">
      <w:start w:val="1"/>
      <w:numFmt w:val="bullet"/>
      <w:lvlText w:val="▪"/>
      <w:lvlJc w:val="left"/>
      <w:pPr>
        <w:ind w:left="6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606D67"/>
    <w:multiLevelType w:val="hybridMultilevel"/>
    <w:tmpl w:val="B6508806"/>
    <w:lvl w:ilvl="0" w:tplc="08090001">
      <w:start w:val="1"/>
      <w:numFmt w:val="bullet"/>
      <w:lvlText w:val=""/>
      <w:lvlJc w:val="left"/>
      <w:pPr>
        <w:ind w:left="707" w:hanging="360"/>
      </w:pPr>
      <w:rPr>
        <w:rFonts w:ascii="Symbol" w:hAnsi="Symbol"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11" w15:restartNumberingAfterBreak="0">
    <w:nsid w:val="3A1158E7"/>
    <w:multiLevelType w:val="hybridMultilevel"/>
    <w:tmpl w:val="44EEB2E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2" w15:restartNumberingAfterBreak="0">
    <w:nsid w:val="3A830484"/>
    <w:multiLevelType w:val="hybridMultilevel"/>
    <w:tmpl w:val="B44E8754"/>
    <w:lvl w:ilvl="0" w:tplc="21B6A288">
      <w:start w:val="1"/>
      <w:numFmt w:val="bullet"/>
      <w:lvlText w:val="•"/>
      <w:lvlJc w:val="left"/>
      <w:pPr>
        <w:ind w:left="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466FC">
      <w:start w:val="1"/>
      <w:numFmt w:val="bullet"/>
      <w:lvlText w:val="o"/>
      <w:lvlJc w:val="left"/>
      <w:pPr>
        <w:ind w:left="1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65EBE">
      <w:start w:val="1"/>
      <w:numFmt w:val="bullet"/>
      <w:lvlText w:val="▪"/>
      <w:lvlJc w:val="left"/>
      <w:pPr>
        <w:ind w:left="2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363912">
      <w:start w:val="1"/>
      <w:numFmt w:val="bullet"/>
      <w:lvlText w:val="•"/>
      <w:lvlJc w:val="left"/>
      <w:pPr>
        <w:ind w:left="2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20EE62">
      <w:start w:val="1"/>
      <w:numFmt w:val="bullet"/>
      <w:lvlText w:val="o"/>
      <w:lvlJc w:val="left"/>
      <w:pPr>
        <w:ind w:left="3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64F000">
      <w:start w:val="1"/>
      <w:numFmt w:val="bullet"/>
      <w:lvlText w:val="▪"/>
      <w:lvlJc w:val="left"/>
      <w:pPr>
        <w:ind w:left="4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50E7EE">
      <w:start w:val="1"/>
      <w:numFmt w:val="bullet"/>
      <w:lvlText w:val="•"/>
      <w:lvlJc w:val="left"/>
      <w:pPr>
        <w:ind w:left="4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90EAE0">
      <w:start w:val="1"/>
      <w:numFmt w:val="bullet"/>
      <w:lvlText w:val="o"/>
      <w:lvlJc w:val="left"/>
      <w:pPr>
        <w:ind w:left="5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FE9EC0">
      <w:start w:val="1"/>
      <w:numFmt w:val="bullet"/>
      <w:lvlText w:val="▪"/>
      <w:lvlJc w:val="left"/>
      <w:pPr>
        <w:ind w:left="6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9C66C7"/>
    <w:multiLevelType w:val="hybridMultilevel"/>
    <w:tmpl w:val="493CD338"/>
    <w:lvl w:ilvl="0" w:tplc="906618B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D2E214">
      <w:start w:val="1"/>
      <w:numFmt w:val="bullet"/>
      <w:lvlText w:val="-"/>
      <w:lvlJc w:val="left"/>
      <w:pPr>
        <w:ind w:left="1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E08890">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4C9914">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F2369A">
      <w:start w:val="1"/>
      <w:numFmt w:val="bullet"/>
      <w:lvlText w:val="o"/>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78D170">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2ED596">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D4EC20">
      <w:start w:val="1"/>
      <w:numFmt w:val="bullet"/>
      <w:lvlText w:val="o"/>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F45D18">
      <w:start w:val="1"/>
      <w:numFmt w:val="bullet"/>
      <w:lvlText w:val="▪"/>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6B6B42"/>
    <w:multiLevelType w:val="hybridMultilevel"/>
    <w:tmpl w:val="3F6A37A2"/>
    <w:lvl w:ilvl="0" w:tplc="81D2E214">
      <w:start w:val="1"/>
      <w:numFmt w:val="bullet"/>
      <w:lvlText w:val="-"/>
      <w:lvlJc w:val="left"/>
      <w:pPr>
        <w:ind w:left="1074"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5" w15:restartNumberingAfterBreak="0">
    <w:nsid w:val="47084B2E"/>
    <w:multiLevelType w:val="hybridMultilevel"/>
    <w:tmpl w:val="C2E8E378"/>
    <w:lvl w:ilvl="0" w:tplc="FC14125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D77D9A"/>
    <w:multiLevelType w:val="multilevel"/>
    <w:tmpl w:val="3EB03004"/>
    <w:lvl w:ilvl="0">
      <w:start w:val="1"/>
      <w:numFmt w:val="decimal"/>
      <w:lvlText w:val="%1."/>
      <w:lvlJc w:val="left"/>
      <w:pPr>
        <w:ind w:left="346" w:hanging="360"/>
      </w:pPr>
      <w:rPr>
        <w:rFonts w:hint="default"/>
        <w:sz w:val="28"/>
        <w:szCs w:val="28"/>
      </w:rPr>
    </w:lvl>
    <w:lvl w:ilvl="1">
      <w:start w:val="2"/>
      <w:numFmt w:val="decimal"/>
      <w:isLgl/>
      <w:lvlText w:val="%1.%2"/>
      <w:lvlJc w:val="left"/>
      <w:pPr>
        <w:ind w:left="593"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7"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61" w:hanging="144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835" w:hanging="1800"/>
      </w:pPr>
      <w:rPr>
        <w:rFonts w:hint="default"/>
      </w:rPr>
    </w:lvl>
    <w:lvl w:ilvl="8">
      <w:start w:val="1"/>
      <w:numFmt w:val="decimal"/>
      <w:isLgl/>
      <w:lvlText w:val="%1.%2.%3.%4.%5.%6.%7.%8.%9"/>
      <w:lvlJc w:val="left"/>
      <w:pPr>
        <w:ind w:left="1842" w:hanging="1800"/>
      </w:pPr>
      <w:rPr>
        <w:rFonts w:hint="default"/>
      </w:rPr>
    </w:lvl>
  </w:abstractNum>
  <w:abstractNum w:abstractNumId="17" w15:restartNumberingAfterBreak="0">
    <w:nsid w:val="4BF9530D"/>
    <w:multiLevelType w:val="hybridMultilevel"/>
    <w:tmpl w:val="19D0A40E"/>
    <w:lvl w:ilvl="0" w:tplc="4DA4F51E">
      <w:start w:val="1"/>
      <w:numFmt w:val="decimal"/>
      <w:lvlText w:val="%1."/>
      <w:lvlJc w:val="left"/>
      <w:pPr>
        <w:ind w:left="346" w:hanging="360"/>
      </w:pPr>
      <w:rPr>
        <w:rFonts w:hint="default"/>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abstractNum w:abstractNumId="18" w15:restartNumberingAfterBreak="0">
    <w:nsid w:val="4E820691"/>
    <w:multiLevelType w:val="hybridMultilevel"/>
    <w:tmpl w:val="12267F3C"/>
    <w:lvl w:ilvl="0" w:tplc="944CB8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9082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94C6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907D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3245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3A33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C2DF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4BB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FCD2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EE4560"/>
    <w:multiLevelType w:val="hybridMultilevel"/>
    <w:tmpl w:val="010A1A60"/>
    <w:lvl w:ilvl="0" w:tplc="FC14125E">
      <w:start w:val="1"/>
      <w:numFmt w:val="bullet"/>
      <w:pStyle w:val="ListParagraph"/>
      <w:lvlText w:val=""/>
      <w:lvlJc w:val="left"/>
      <w:pPr>
        <w:ind w:left="1074"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15:restartNumberingAfterBreak="0">
    <w:nsid w:val="5063369C"/>
    <w:multiLevelType w:val="hybridMultilevel"/>
    <w:tmpl w:val="54CEF580"/>
    <w:lvl w:ilvl="0" w:tplc="BE400EE4">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BC55D4">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86A000">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0EC16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10048A">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AAF67A">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4E50D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38DFEE">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225854">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A443E3"/>
    <w:multiLevelType w:val="hybridMultilevel"/>
    <w:tmpl w:val="21DEB884"/>
    <w:lvl w:ilvl="0" w:tplc="81D2E214">
      <w:start w:val="1"/>
      <w:numFmt w:val="bullet"/>
      <w:lvlText w:val="-"/>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ECD2F6A"/>
    <w:multiLevelType w:val="hybridMultilevel"/>
    <w:tmpl w:val="594899C2"/>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3" w15:restartNumberingAfterBreak="0">
    <w:nsid w:val="6649384C"/>
    <w:multiLevelType w:val="hybridMultilevel"/>
    <w:tmpl w:val="0DEEE712"/>
    <w:lvl w:ilvl="0" w:tplc="26F638D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721F4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B4EAC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0C68B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8E9DF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A68AF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F4492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01EF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900C4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4F3BF0"/>
    <w:multiLevelType w:val="hybridMultilevel"/>
    <w:tmpl w:val="3398D0CE"/>
    <w:lvl w:ilvl="0" w:tplc="096A6F84">
      <w:start w:val="1"/>
      <w:numFmt w:val="bullet"/>
      <w:lvlText w:val="•"/>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CAE20">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4AF8D4">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CA0990">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EEDA2">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0E6E66">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BE128E">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3CDB04">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787074">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614800"/>
    <w:multiLevelType w:val="hybridMultilevel"/>
    <w:tmpl w:val="E0523C96"/>
    <w:lvl w:ilvl="0" w:tplc="A1B2BD42">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944772">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96F3AE">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478FA">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A9C52">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C783C">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28E430">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CECD6">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FA9A0A">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0A1A23"/>
    <w:multiLevelType w:val="hybridMultilevel"/>
    <w:tmpl w:val="D474E058"/>
    <w:lvl w:ilvl="0" w:tplc="4DCE425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A712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02D67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BA95C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6A25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A28EC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38630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A6180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B23F2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356211"/>
    <w:multiLevelType w:val="hybridMultilevel"/>
    <w:tmpl w:val="D53CDA04"/>
    <w:lvl w:ilvl="0" w:tplc="8A9C10EE">
      <w:start w:val="1"/>
      <w:numFmt w:val="lowerRoman"/>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401C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92BFF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36BD3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DED1E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27AB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E231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F023E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58449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FF73824"/>
    <w:multiLevelType w:val="hybridMultilevel"/>
    <w:tmpl w:val="10EA3898"/>
    <w:lvl w:ilvl="0" w:tplc="81D2E214">
      <w:start w:val="1"/>
      <w:numFmt w:val="bullet"/>
      <w:lvlText w:val="-"/>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1B0428F"/>
    <w:multiLevelType w:val="hybridMultilevel"/>
    <w:tmpl w:val="5F26B09C"/>
    <w:lvl w:ilvl="0" w:tplc="BD68F5A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AE0518">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ACC4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58FFDA">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FCB5D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1C1172">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14F84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CDA1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C4074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3042538"/>
    <w:multiLevelType w:val="hybridMultilevel"/>
    <w:tmpl w:val="07EA1B52"/>
    <w:lvl w:ilvl="0" w:tplc="5CCEB0B4">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0ED3E">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1A6960">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587ADE">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7CFC16">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B6D058">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08F002">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82D432">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1C6312">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3C64AA6"/>
    <w:multiLevelType w:val="hybridMultilevel"/>
    <w:tmpl w:val="20FE0374"/>
    <w:lvl w:ilvl="0" w:tplc="C0BA575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7C6236">
      <w:start w:val="1"/>
      <w:numFmt w:val="bullet"/>
      <w:lvlText w:val="o"/>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B23820">
      <w:start w:val="1"/>
      <w:numFmt w:val="bullet"/>
      <w:lvlText w:val="▪"/>
      <w:lvlJc w:val="left"/>
      <w:pPr>
        <w:ind w:left="2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0ECC92">
      <w:start w:val="1"/>
      <w:numFmt w:val="bullet"/>
      <w:lvlText w:val="•"/>
      <w:lvlJc w:val="left"/>
      <w:pPr>
        <w:ind w:left="2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E8A326">
      <w:start w:val="1"/>
      <w:numFmt w:val="bullet"/>
      <w:lvlText w:val="o"/>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00FD94">
      <w:start w:val="1"/>
      <w:numFmt w:val="bullet"/>
      <w:lvlText w:val="▪"/>
      <w:lvlJc w:val="left"/>
      <w:pPr>
        <w:ind w:left="4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D6E4DA">
      <w:start w:val="1"/>
      <w:numFmt w:val="bullet"/>
      <w:lvlText w:val="•"/>
      <w:lvlJc w:val="left"/>
      <w:pPr>
        <w:ind w:left="5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ACC2C">
      <w:start w:val="1"/>
      <w:numFmt w:val="bullet"/>
      <w:lvlText w:val="o"/>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82F1EA">
      <w:start w:val="1"/>
      <w:numFmt w:val="bullet"/>
      <w:lvlText w:val="▪"/>
      <w:lvlJc w:val="left"/>
      <w:pPr>
        <w:ind w:left="6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13272050">
    <w:abstractNumId w:val="18"/>
  </w:num>
  <w:num w:numId="2" w16cid:durableId="716126644">
    <w:abstractNumId w:val="3"/>
  </w:num>
  <w:num w:numId="3" w16cid:durableId="1072921563">
    <w:abstractNumId w:val="26"/>
  </w:num>
  <w:num w:numId="4" w16cid:durableId="1138231985">
    <w:abstractNumId w:val="8"/>
  </w:num>
  <w:num w:numId="5" w16cid:durableId="1967226394">
    <w:abstractNumId w:val="25"/>
  </w:num>
  <w:num w:numId="6" w16cid:durableId="736899429">
    <w:abstractNumId w:val="1"/>
  </w:num>
  <w:num w:numId="7" w16cid:durableId="620918891">
    <w:abstractNumId w:val="30"/>
  </w:num>
  <w:num w:numId="8" w16cid:durableId="415130290">
    <w:abstractNumId w:val="0"/>
  </w:num>
  <w:num w:numId="9" w16cid:durableId="1061903946">
    <w:abstractNumId w:val="29"/>
  </w:num>
  <w:num w:numId="10" w16cid:durableId="844512793">
    <w:abstractNumId w:val="12"/>
  </w:num>
  <w:num w:numId="11" w16cid:durableId="961112942">
    <w:abstractNumId w:val="23"/>
  </w:num>
  <w:num w:numId="12" w16cid:durableId="877082518">
    <w:abstractNumId w:val="24"/>
  </w:num>
  <w:num w:numId="13" w16cid:durableId="1700619442">
    <w:abstractNumId w:val="13"/>
  </w:num>
  <w:num w:numId="14" w16cid:durableId="1622951907">
    <w:abstractNumId w:val="27"/>
  </w:num>
  <w:num w:numId="15" w16cid:durableId="123930390">
    <w:abstractNumId w:val="4"/>
  </w:num>
  <w:num w:numId="16" w16cid:durableId="1025332480">
    <w:abstractNumId w:val="5"/>
  </w:num>
  <w:num w:numId="17" w16cid:durableId="770473630">
    <w:abstractNumId w:val="9"/>
  </w:num>
  <w:num w:numId="18" w16cid:durableId="1038702797">
    <w:abstractNumId w:val="20"/>
  </w:num>
  <w:num w:numId="19" w16cid:durableId="357702530">
    <w:abstractNumId w:val="31"/>
  </w:num>
  <w:num w:numId="20" w16cid:durableId="1420441477">
    <w:abstractNumId w:val="7"/>
  </w:num>
  <w:num w:numId="21" w16cid:durableId="1648971857">
    <w:abstractNumId w:val="15"/>
  </w:num>
  <w:num w:numId="22" w16cid:durableId="259916179">
    <w:abstractNumId w:val="17"/>
  </w:num>
  <w:num w:numId="23" w16cid:durableId="574706452">
    <w:abstractNumId w:val="2"/>
  </w:num>
  <w:num w:numId="24" w16cid:durableId="80637971">
    <w:abstractNumId w:val="16"/>
  </w:num>
  <w:num w:numId="25" w16cid:durableId="496505433">
    <w:abstractNumId w:val="19"/>
  </w:num>
  <w:num w:numId="26" w16cid:durableId="1600523085">
    <w:abstractNumId w:val="28"/>
  </w:num>
  <w:num w:numId="27" w16cid:durableId="1023214091">
    <w:abstractNumId w:val="21"/>
  </w:num>
  <w:num w:numId="28" w16cid:durableId="509370549">
    <w:abstractNumId w:val="6"/>
  </w:num>
  <w:num w:numId="29" w16cid:durableId="655257626">
    <w:abstractNumId w:val="14"/>
  </w:num>
  <w:num w:numId="30" w16cid:durableId="1480805744">
    <w:abstractNumId w:val="22"/>
  </w:num>
  <w:num w:numId="31" w16cid:durableId="510610777">
    <w:abstractNumId w:val="10"/>
  </w:num>
  <w:num w:numId="32" w16cid:durableId="54014909">
    <w:abstractNumId w:val="11"/>
  </w:num>
  <w:num w:numId="33" w16cid:durableId="716315839">
    <w:abstractNumId w:val="19"/>
  </w:num>
  <w:num w:numId="34" w16cid:durableId="327710152">
    <w:abstractNumId w:val="25"/>
  </w:num>
  <w:num w:numId="35" w16cid:durableId="959872287">
    <w:abstractNumId w:val="11"/>
  </w:num>
  <w:num w:numId="36" w16cid:durableId="1706901723">
    <w:abstractNumId w:val="0"/>
  </w:num>
  <w:num w:numId="37" w16cid:durableId="330522368">
    <w:abstractNumId w:val="29"/>
  </w:num>
  <w:num w:numId="38" w16cid:durableId="285815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1F"/>
    <w:rsid w:val="00026AE3"/>
    <w:rsid w:val="00041E78"/>
    <w:rsid w:val="00071B03"/>
    <w:rsid w:val="000954A7"/>
    <w:rsid w:val="000E2077"/>
    <w:rsid w:val="000F0AB3"/>
    <w:rsid w:val="00107F40"/>
    <w:rsid w:val="00115FCA"/>
    <w:rsid w:val="0018580E"/>
    <w:rsid w:val="001B06FC"/>
    <w:rsid w:val="001B19FE"/>
    <w:rsid w:val="001E5524"/>
    <w:rsid w:val="002101A1"/>
    <w:rsid w:val="002D00A5"/>
    <w:rsid w:val="002E6E60"/>
    <w:rsid w:val="0032316B"/>
    <w:rsid w:val="00333367"/>
    <w:rsid w:val="003578CF"/>
    <w:rsid w:val="003B37A4"/>
    <w:rsid w:val="003D0149"/>
    <w:rsid w:val="00425B81"/>
    <w:rsid w:val="00453144"/>
    <w:rsid w:val="00461860"/>
    <w:rsid w:val="004F511F"/>
    <w:rsid w:val="0057082B"/>
    <w:rsid w:val="005E4CD5"/>
    <w:rsid w:val="005F7692"/>
    <w:rsid w:val="0064096B"/>
    <w:rsid w:val="006A15BD"/>
    <w:rsid w:val="006B7DF7"/>
    <w:rsid w:val="0070038B"/>
    <w:rsid w:val="007233A3"/>
    <w:rsid w:val="007406F0"/>
    <w:rsid w:val="00752302"/>
    <w:rsid w:val="007E485D"/>
    <w:rsid w:val="007F22A1"/>
    <w:rsid w:val="007F72F9"/>
    <w:rsid w:val="00807F8F"/>
    <w:rsid w:val="008668A1"/>
    <w:rsid w:val="008A6F69"/>
    <w:rsid w:val="008D7A7D"/>
    <w:rsid w:val="008F4DEE"/>
    <w:rsid w:val="00957A87"/>
    <w:rsid w:val="00975806"/>
    <w:rsid w:val="00A27F97"/>
    <w:rsid w:val="00A4138D"/>
    <w:rsid w:val="00A9300E"/>
    <w:rsid w:val="00AA6BC4"/>
    <w:rsid w:val="00AB060E"/>
    <w:rsid w:val="00B04FD5"/>
    <w:rsid w:val="00B11FBA"/>
    <w:rsid w:val="00B46868"/>
    <w:rsid w:val="00B52190"/>
    <w:rsid w:val="00BE6D25"/>
    <w:rsid w:val="00BF5C6F"/>
    <w:rsid w:val="00C07E9F"/>
    <w:rsid w:val="00C42050"/>
    <w:rsid w:val="00C76947"/>
    <w:rsid w:val="00C90F8B"/>
    <w:rsid w:val="00C96CE5"/>
    <w:rsid w:val="00CE4279"/>
    <w:rsid w:val="00D562B3"/>
    <w:rsid w:val="00DE2424"/>
    <w:rsid w:val="00E87F38"/>
    <w:rsid w:val="00EC386C"/>
    <w:rsid w:val="00F76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5286"/>
  <w15:docId w15:val="{74CB913F-8A0B-4483-A04D-A4BA9290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67"/>
    <w:pPr>
      <w:spacing w:after="5" w:line="270" w:lineRule="auto"/>
      <w:ind w:left="11" w:hanging="10"/>
      <w:jc w:val="both"/>
    </w:pPr>
    <w:rPr>
      <w:rFonts w:ascii="Arial" w:eastAsia="Arial" w:hAnsi="Arial" w:cs="Arial"/>
      <w:color w:val="000000"/>
      <w:sz w:val="24"/>
    </w:rPr>
  </w:style>
  <w:style w:type="paragraph" w:styleId="Heading1">
    <w:name w:val="heading 1"/>
    <w:next w:val="Normal"/>
    <w:link w:val="Heading1Char"/>
    <w:uiPriority w:val="9"/>
    <w:unhideWhenUsed/>
    <w:qFormat/>
    <w:rsid w:val="00DE2424"/>
    <w:pPr>
      <w:keepNext/>
      <w:keepLines/>
      <w:spacing w:after="0"/>
      <w:ind w:left="11" w:hanging="10"/>
      <w:outlineLvl w:val="0"/>
    </w:pPr>
    <w:rPr>
      <w:rFonts w:ascii="Arial" w:eastAsia="Arial" w:hAnsi="Arial" w:cs="Arial"/>
      <w:b/>
      <w:color w:val="1F497D"/>
      <w:sz w:val="28"/>
    </w:rPr>
  </w:style>
  <w:style w:type="paragraph" w:styleId="Heading2">
    <w:name w:val="heading 2"/>
    <w:next w:val="Normal"/>
    <w:link w:val="Heading2Char"/>
    <w:uiPriority w:val="9"/>
    <w:unhideWhenUsed/>
    <w:qFormat/>
    <w:rsid w:val="00333367"/>
    <w:pPr>
      <w:keepNext/>
      <w:keepLines/>
      <w:spacing w:after="257"/>
      <w:ind w:left="11" w:hanging="10"/>
      <w:outlineLvl w:val="1"/>
    </w:pPr>
    <w:rPr>
      <w:rFonts w:ascii="Arial" w:eastAsia="Arial" w:hAnsi="Arial" w:cs="Arial"/>
      <w:color w:val="1F497D"/>
      <w:sz w:val="24"/>
    </w:rPr>
  </w:style>
  <w:style w:type="paragraph" w:styleId="Heading3">
    <w:name w:val="heading 3"/>
    <w:next w:val="Normal"/>
    <w:link w:val="Heading3Char"/>
    <w:uiPriority w:val="9"/>
    <w:unhideWhenUsed/>
    <w:qFormat/>
    <w:rsid w:val="0018580E"/>
    <w:pPr>
      <w:keepNext/>
      <w:keepLines/>
      <w:spacing w:after="218"/>
      <w:ind w:left="11"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18580E"/>
    <w:rPr>
      <w:rFonts w:ascii="Arial" w:eastAsia="Arial" w:hAnsi="Arial" w:cs="Arial"/>
      <w:b/>
      <w:color w:val="000000"/>
      <w:sz w:val="24"/>
    </w:rPr>
  </w:style>
  <w:style w:type="character" w:customStyle="1" w:styleId="Heading2Char">
    <w:name w:val="Heading 2 Char"/>
    <w:link w:val="Heading2"/>
    <w:uiPriority w:val="9"/>
    <w:rsid w:val="00333367"/>
    <w:rPr>
      <w:rFonts w:ascii="Arial" w:eastAsia="Arial" w:hAnsi="Arial" w:cs="Arial"/>
      <w:color w:val="1F497D"/>
      <w:sz w:val="24"/>
    </w:rPr>
  </w:style>
  <w:style w:type="character" w:customStyle="1" w:styleId="Heading1Char">
    <w:name w:val="Heading 1 Char"/>
    <w:link w:val="Heading1"/>
    <w:uiPriority w:val="9"/>
    <w:rsid w:val="00DE2424"/>
    <w:rPr>
      <w:rFonts w:ascii="Arial" w:eastAsia="Arial" w:hAnsi="Arial" w:cs="Arial"/>
      <w:b/>
      <w:color w:val="1F497D"/>
      <w:sz w:val="28"/>
    </w:rPr>
  </w:style>
  <w:style w:type="paragraph" w:styleId="TOC1">
    <w:name w:val="toc 1"/>
    <w:hidden/>
    <w:pPr>
      <w:spacing w:after="5" w:line="364" w:lineRule="auto"/>
      <w:ind w:left="26" w:right="23" w:hanging="10"/>
      <w:jc w:val="both"/>
    </w:pPr>
    <w:rPr>
      <w:rFonts w:ascii="Arial" w:eastAsia="Arial" w:hAnsi="Arial" w:cs="Arial"/>
      <w:color w:val="000000"/>
    </w:rPr>
  </w:style>
  <w:style w:type="paragraph" w:styleId="TOC2">
    <w:name w:val="toc 2"/>
    <w:hidden/>
    <w:pPr>
      <w:spacing w:after="117"/>
      <w:ind w:left="26" w:right="23" w:hanging="10"/>
      <w:jc w:val="right"/>
    </w:pPr>
    <w:rPr>
      <w:rFonts w:ascii="Arial" w:eastAsia="Arial" w:hAnsi="Arial" w:cs="Arial"/>
      <w:color w:val="000000"/>
    </w:rPr>
  </w:style>
  <w:style w:type="paragraph" w:styleId="Revision">
    <w:name w:val="Revision"/>
    <w:hidden/>
    <w:uiPriority w:val="99"/>
    <w:semiHidden/>
    <w:rsid w:val="007233A3"/>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7233A3"/>
    <w:rPr>
      <w:sz w:val="16"/>
      <w:szCs w:val="16"/>
    </w:rPr>
  </w:style>
  <w:style w:type="paragraph" w:styleId="CommentText">
    <w:name w:val="annotation text"/>
    <w:basedOn w:val="Normal"/>
    <w:link w:val="CommentTextChar"/>
    <w:uiPriority w:val="99"/>
    <w:unhideWhenUsed/>
    <w:rsid w:val="007233A3"/>
    <w:pPr>
      <w:spacing w:line="240" w:lineRule="auto"/>
    </w:pPr>
    <w:rPr>
      <w:sz w:val="20"/>
      <w:szCs w:val="20"/>
    </w:rPr>
  </w:style>
  <w:style w:type="character" w:customStyle="1" w:styleId="CommentTextChar">
    <w:name w:val="Comment Text Char"/>
    <w:basedOn w:val="DefaultParagraphFont"/>
    <w:link w:val="CommentText"/>
    <w:uiPriority w:val="99"/>
    <w:rsid w:val="007233A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233A3"/>
    <w:rPr>
      <w:b/>
      <w:bCs/>
    </w:rPr>
  </w:style>
  <w:style w:type="character" w:customStyle="1" w:styleId="CommentSubjectChar">
    <w:name w:val="Comment Subject Char"/>
    <w:basedOn w:val="CommentTextChar"/>
    <w:link w:val="CommentSubject"/>
    <w:uiPriority w:val="99"/>
    <w:semiHidden/>
    <w:rsid w:val="007233A3"/>
    <w:rPr>
      <w:rFonts w:ascii="Arial" w:eastAsia="Arial" w:hAnsi="Arial" w:cs="Arial"/>
      <w:b/>
      <w:bCs/>
      <w:color w:val="000000"/>
      <w:sz w:val="20"/>
      <w:szCs w:val="20"/>
    </w:rPr>
  </w:style>
  <w:style w:type="paragraph" w:styleId="ListParagraph">
    <w:name w:val="List Paragraph"/>
    <w:basedOn w:val="Normal"/>
    <w:uiPriority w:val="34"/>
    <w:qFormat/>
    <w:rsid w:val="008A6F69"/>
    <w:pPr>
      <w:numPr>
        <w:numId w:val="25"/>
      </w:numPr>
      <w:contextualSpacing/>
    </w:pPr>
  </w:style>
  <w:style w:type="paragraph" w:styleId="FootnoteText">
    <w:name w:val="footnote text"/>
    <w:basedOn w:val="Normal"/>
    <w:link w:val="FootnoteTextChar"/>
    <w:uiPriority w:val="99"/>
    <w:semiHidden/>
    <w:unhideWhenUsed/>
    <w:rsid w:val="006B7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DF7"/>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6B7DF7"/>
    <w:rPr>
      <w:vertAlign w:val="superscript"/>
    </w:rPr>
  </w:style>
  <w:style w:type="character" w:styleId="Hyperlink">
    <w:name w:val="Hyperlink"/>
    <w:basedOn w:val="DefaultParagraphFont"/>
    <w:uiPriority w:val="99"/>
    <w:unhideWhenUsed/>
    <w:rsid w:val="002101A1"/>
    <w:rPr>
      <w:color w:val="0563C1" w:themeColor="hyperlink"/>
      <w:u w:val="single"/>
    </w:rPr>
  </w:style>
  <w:style w:type="character" w:customStyle="1" w:styleId="UnresolvedMention1">
    <w:name w:val="Unresolved Mention1"/>
    <w:basedOn w:val="DefaultParagraphFont"/>
    <w:uiPriority w:val="99"/>
    <w:semiHidden/>
    <w:unhideWhenUsed/>
    <w:rsid w:val="002101A1"/>
    <w:rPr>
      <w:color w:val="605E5C"/>
      <w:shd w:val="clear" w:color="auto" w:fill="E1DFDD"/>
    </w:rPr>
  </w:style>
  <w:style w:type="paragraph" w:styleId="BalloonText">
    <w:name w:val="Balloon Text"/>
    <w:basedOn w:val="Normal"/>
    <w:link w:val="BalloonTextChar"/>
    <w:uiPriority w:val="99"/>
    <w:semiHidden/>
    <w:unhideWhenUsed/>
    <w:rsid w:val="005E4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CD5"/>
    <w:rPr>
      <w:rFonts w:ascii="Segoe UI" w:eastAsia="Arial" w:hAnsi="Segoe UI" w:cs="Segoe UI"/>
      <w:color w:val="000000"/>
      <w:sz w:val="18"/>
      <w:szCs w:val="18"/>
    </w:rPr>
  </w:style>
  <w:style w:type="paragraph" w:styleId="Header">
    <w:name w:val="header"/>
    <w:basedOn w:val="Normal"/>
    <w:link w:val="HeaderChar"/>
    <w:uiPriority w:val="99"/>
    <w:unhideWhenUsed/>
    <w:rsid w:val="00700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38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81123">
      <w:bodyDiv w:val="1"/>
      <w:marLeft w:val="0"/>
      <w:marRight w:val="0"/>
      <w:marTop w:val="0"/>
      <w:marBottom w:val="0"/>
      <w:divBdr>
        <w:top w:val="none" w:sz="0" w:space="0" w:color="auto"/>
        <w:left w:val="none" w:sz="0" w:space="0" w:color="auto"/>
        <w:bottom w:val="none" w:sz="0" w:space="0" w:color="auto"/>
        <w:right w:val="none" w:sz="0" w:space="0" w:color="auto"/>
      </w:divBdr>
    </w:div>
    <w:div w:id="1109617578">
      <w:bodyDiv w:val="1"/>
      <w:marLeft w:val="0"/>
      <w:marRight w:val="0"/>
      <w:marTop w:val="0"/>
      <w:marBottom w:val="0"/>
      <w:divBdr>
        <w:top w:val="none" w:sz="0" w:space="0" w:color="auto"/>
        <w:left w:val="none" w:sz="0" w:space="0" w:color="auto"/>
        <w:bottom w:val="none" w:sz="0" w:space="0" w:color="auto"/>
        <w:right w:val="none" w:sz="0" w:space="0" w:color="auto"/>
      </w:divBdr>
    </w:div>
    <w:div w:id="1516310715">
      <w:bodyDiv w:val="1"/>
      <w:marLeft w:val="0"/>
      <w:marRight w:val="0"/>
      <w:marTop w:val="0"/>
      <w:marBottom w:val="0"/>
      <w:divBdr>
        <w:top w:val="none" w:sz="0" w:space="0" w:color="auto"/>
        <w:left w:val="none" w:sz="0" w:space="0" w:color="auto"/>
        <w:bottom w:val="none" w:sz="0" w:space="0" w:color="auto"/>
        <w:right w:val="none" w:sz="0" w:space="0" w:color="auto"/>
      </w:divBdr>
    </w:div>
    <w:div w:id="1537888346">
      <w:bodyDiv w:val="1"/>
      <w:marLeft w:val="0"/>
      <w:marRight w:val="0"/>
      <w:marTop w:val="0"/>
      <w:marBottom w:val="0"/>
      <w:divBdr>
        <w:top w:val="none" w:sz="0" w:space="0" w:color="auto"/>
        <w:left w:val="none" w:sz="0" w:space="0" w:color="auto"/>
        <w:bottom w:val="none" w:sz="0" w:space="0" w:color="auto"/>
        <w:right w:val="none" w:sz="0" w:space="0" w:color="auto"/>
      </w:divBdr>
    </w:div>
    <w:div w:id="1925144247">
      <w:bodyDiv w:val="1"/>
      <w:marLeft w:val="0"/>
      <w:marRight w:val="0"/>
      <w:marTop w:val="0"/>
      <w:marBottom w:val="0"/>
      <w:divBdr>
        <w:top w:val="none" w:sz="0" w:space="0" w:color="auto"/>
        <w:left w:val="none" w:sz="0" w:space="0" w:color="auto"/>
        <w:bottom w:val="none" w:sz="0" w:space="0" w:color="auto"/>
        <w:right w:val="none" w:sz="0" w:space="0" w:color="auto"/>
      </w:divBdr>
    </w:div>
    <w:div w:id="1990160985">
      <w:bodyDiv w:val="1"/>
      <w:marLeft w:val="0"/>
      <w:marRight w:val="0"/>
      <w:marTop w:val="0"/>
      <w:marBottom w:val="0"/>
      <w:divBdr>
        <w:top w:val="none" w:sz="0" w:space="0" w:color="auto"/>
        <w:left w:val="none" w:sz="0" w:space="0" w:color="auto"/>
        <w:bottom w:val="none" w:sz="0" w:space="0" w:color="auto"/>
        <w:right w:val="none" w:sz="0" w:space="0" w:color="auto"/>
      </w:divBdr>
    </w:div>
    <w:div w:id="1991127282">
      <w:bodyDiv w:val="1"/>
      <w:marLeft w:val="0"/>
      <w:marRight w:val="0"/>
      <w:marTop w:val="0"/>
      <w:marBottom w:val="0"/>
      <w:divBdr>
        <w:top w:val="none" w:sz="0" w:space="0" w:color="auto"/>
        <w:left w:val="none" w:sz="0" w:space="0" w:color="auto"/>
        <w:bottom w:val="none" w:sz="0" w:space="0" w:color="auto"/>
        <w:right w:val="none" w:sz="0" w:space="0" w:color="auto"/>
      </w:divBdr>
    </w:div>
    <w:div w:id="2024622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cqueline.Andress@newham.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ames.Cocks@oneSour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4AC81-5454-40FB-AF0E-1FB89E51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3563</Words>
  <Characters>18737</Characters>
  <Application>Microsoft Office Word</Application>
  <DocSecurity>0</DocSecurity>
  <Lines>432</Lines>
  <Paragraphs>135</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Wild</dc:creator>
  <cp:keywords/>
  <cp:lastModifiedBy>Jacqueline Andress</cp:lastModifiedBy>
  <cp:revision>3</cp:revision>
  <dcterms:created xsi:type="dcterms:W3CDTF">2025-09-29T21:22:00Z</dcterms:created>
  <dcterms:modified xsi:type="dcterms:W3CDTF">2025-11-03T11:43:00Z</dcterms:modified>
</cp:coreProperties>
</file>